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49CA7C">
      <w:pPr>
        <w:rPr>
          <w:rFonts w:hint="eastAsia" w:ascii="黑体" w:hAnsi="黑体" w:eastAsia="黑体"/>
          <w:sz w:val="32"/>
          <w:szCs w:val="32"/>
        </w:rPr>
      </w:pPr>
    </w:p>
    <w:p w14:paraId="44E9D7EE">
      <w:pPr>
        <w:jc w:val="center"/>
        <w:rPr>
          <w:rFonts w:hint="eastAsia" w:ascii="方正小标宋_GBK" w:hAnsi="宋体" w:eastAsia="方正小标宋_GBK"/>
          <w:sz w:val="44"/>
          <w:szCs w:val="44"/>
        </w:rPr>
      </w:pPr>
    </w:p>
    <w:p w14:paraId="5A0D99FB">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木垒哈萨克自治县准东社会事务管理中心</w:t>
      </w:r>
    </w:p>
    <w:p w14:paraId="56D907D3">
      <w:pPr>
        <w:jc w:val="center"/>
        <w:rPr>
          <w:rFonts w:hint="eastAsia" w:ascii="方正小标宋_GBK" w:hAnsi="宋体" w:eastAsia="方正小标宋_GBK"/>
          <w:sz w:val="44"/>
          <w:szCs w:val="44"/>
        </w:rPr>
      </w:pPr>
      <w:r>
        <w:rPr>
          <w:rFonts w:hint="eastAsia" w:ascii="方正小标宋_GBK" w:hAnsi="宋体" w:eastAsia="方正小标宋_GBK"/>
          <w:sz w:val="44"/>
          <w:szCs w:val="44"/>
        </w:rPr>
        <w:t>2023年度部门决算</w:t>
      </w:r>
    </w:p>
    <w:p w14:paraId="5F0E1B18">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14:paraId="3B3241B5">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14:paraId="120F9C5E">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7BEE6CEE">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04D5DBC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1B5E0C5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020BEFF3">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F00F34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0282A96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9A938B1">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1BF0D691">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164314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7BC21D0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60E1230F">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380AE9C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15B6CC96">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20D35BC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6775A1FC">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26D42A93">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3471FDB4">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141EB3F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78EBC354">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07B1663B">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3BAB8A86">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EEE0D2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4D7B35CF">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0ACC193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52F05D1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6A2F72A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394F295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2CF1EE4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584F2DC6">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709BFB2A">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2AFF6C3A">
      <w:r>
        <w:rPr>
          <w:rFonts w:hint="eastAsia" w:ascii="仿宋_GB2312" w:hAnsi="仿宋_GB2312" w:eastAsia="仿宋_GB2312" w:cs="仿宋_GB2312"/>
          <w:sz w:val="32"/>
          <w:szCs w:val="32"/>
        </w:rPr>
        <w:fldChar w:fldCharType="end"/>
      </w:r>
    </w:p>
    <w:p w14:paraId="23E7AB30">
      <w:pPr>
        <w:rPr>
          <w:rFonts w:ascii="仿宋_GB2312" w:eastAsia="仿宋_GB2312"/>
          <w:sz w:val="32"/>
          <w:szCs w:val="32"/>
        </w:rPr>
      </w:pPr>
      <w:r>
        <w:rPr>
          <w:rFonts w:hint="eastAsia" w:ascii="仿宋_GB2312" w:eastAsia="仿宋_GB2312"/>
          <w:sz w:val="32"/>
          <w:szCs w:val="32"/>
        </w:rPr>
        <w:br w:type="page"/>
      </w:r>
    </w:p>
    <w:p w14:paraId="099F1A2C">
      <w:pPr>
        <w:jc w:val="center"/>
        <w:outlineLvl w:val="0"/>
        <w:rPr>
          <w:rFonts w:hint="eastAsia" w:ascii="黑体" w:hAnsi="黑体" w:eastAsia="黑体"/>
          <w:sz w:val="32"/>
          <w:szCs w:val="32"/>
        </w:rPr>
      </w:pPr>
      <w:bookmarkStart w:id="0" w:name="_Toc32314"/>
      <w:bookmarkStart w:id="1" w:name="_Toc24028"/>
      <w:r>
        <w:rPr>
          <w:rFonts w:hint="eastAsia" w:ascii="黑体" w:hAnsi="黑体" w:eastAsia="黑体"/>
          <w:sz w:val="32"/>
          <w:szCs w:val="32"/>
        </w:rPr>
        <w:t>第一部分 单位概况</w:t>
      </w:r>
      <w:bookmarkEnd w:id="0"/>
      <w:bookmarkEnd w:id="1"/>
    </w:p>
    <w:p w14:paraId="37BBB345">
      <w:pPr>
        <w:ind w:firstLine="640" w:firstLineChars="200"/>
        <w:outlineLvl w:val="1"/>
        <w:rPr>
          <w:rFonts w:hint="eastAsia"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14:paraId="46D48BD1">
      <w:pPr>
        <w:ind w:firstLine="640" w:firstLineChars="200"/>
        <w:rPr>
          <w:rFonts w:ascii="仿宋_GB2312" w:eastAsia="仿宋_GB2312"/>
          <w:sz w:val="32"/>
          <w:szCs w:val="32"/>
        </w:rPr>
      </w:pPr>
      <w:r>
        <w:rPr>
          <w:rFonts w:hint="eastAsia" w:ascii="仿宋_GB2312" w:eastAsia="仿宋_GB2312"/>
          <w:sz w:val="32"/>
          <w:szCs w:val="32"/>
        </w:rPr>
        <w:t>1.贯彻落实国家、区、州、县人民政府各项方针、政策</w:t>
      </w:r>
      <w:r>
        <w:rPr>
          <w:rFonts w:hint="eastAsia" w:ascii="仿宋_GB2312" w:eastAsia="仿宋_GB2312"/>
          <w:sz w:val="32"/>
          <w:szCs w:val="32"/>
          <w:lang w:eastAsia="zh-CN"/>
        </w:rPr>
        <w:t>，</w:t>
      </w:r>
      <w:r>
        <w:rPr>
          <w:rFonts w:hint="eastAsia" w:ascii="仿宋_GB2312" w:eastAsia="仿宋_GB2312"/>
          <w:sz w:val="32"/>
          <w:szCs w:val="32"/>
        </w:rPr>
        <w:t>研究制定准东开发区</w:t>
      </w:r>
      <w:r>
        <w:rPr>
          <w:rFonts w:hint="eastAsia" w:ascii="仿宋_GB2312" w:eastAsia="仿宋_GB2312"/>
          <w:sz w:val="32"/>
          <w:szCs w:val="32"/>
          <w:lang w:eastAsia="zh-CN"/>
        </w:rPr>
        <w:t>木垒哈萨克自治县</w:t>
      </w:r>
      <w:r>
        <w:rPr>
          <w:rFonts w:hint="eastAsia" w:ascii="仿宋_GB2312" w:eastAsia="仿宋_GB2312"/>
          <w:sz w:val="32"/>
          <w:szCs w:val="32"/>
        </w:rPr>
        <w:t>区域内经济和社会发展规划、管理办法、相关配套优惠政策</w:t>
      </w:r>
      <w:r>
        <w:rPr>
          <w:rFonts w:hint="eastAsia" w:ascii="仿宋_GB2312" w:eastAsia="仿宋_GB2312"/>
          <w:sz w:val="32"/>
          <w:szCs w:val="32"/>
          <w:lang w:eastAsia="zh-CN"/>
        </w:rPr>
        <w:t>，</w:t>
      </w:r>
      <w:r>
        <w:rPr>
          <w:rFonts w:hint="eastAsia" w:ascii="仿宋_GB2312" w:eastAsia="仿宋_GB2312"/>
          <w:sz w:val="32"/>
          <w:szCs w:val="32"/>
        </w:rPr>
        <w:t>经自治县人民政府批准后</w:t>
      </w:r>
      <w:r>
        <w:rPr>
          <w:rFonts w:hint="eastAsia" w:ascii="仿宋_GB2312" w:eastAsia="仿宋_GB2312"/>
          <w:sz w:val="32"/>
          <w:szCs w:val="32"/>
          <w:lang w:eastAsia="zh-CN"/>
        </w:rPr>
        <w:t>，</w:t>
      </w:r>
      <w:r>
        <w:rPr>
          <w:rFonts w:hint="eastAsia" w:ascii="仿宋_GB2312" w:eastAsia="仿宋_GB2312"/>
          <w:sz w:val="32"/>
          <w:szCs w:val="32"/>
        </w:rPr>
        <w:t>负责组织实施。</w:t>
      </w:r>
    </w:p>
    <w:p w14:paraId="6304A7EA">
      <w:pPr>
        <w:ind w:firstLine="640" w:firstLineChars="200"/>
        <w:rPr>
          <w:rFonts w:ascii="仿宋_GB2312" w:eastAsia="仿宋_GB2312"/>
          <w:sz w:val="32"/>
          <w:szCs w:val="32"/>
        </w:rPr>
      </w:pPr>
      <w:r>
        <w:rPr>
          <w:rFonts w:hint="eastAsia" w:ascii="仿宋_GB2312" w:eastAsia="仿宋_GB2312"/>
          <w:sz w:val="32"/>
          <w:szCs w:val="32"/>
        </w:rPr>
        <w:t>2.协调做好招商引资工作。</w:t>
      </w:r>
    </w:p>
    <w:p w14:paraId="5CE5C9B9">
      <w:pPr>
        <w:ind w:firstLine="640" w:firstLineChars="200"/>
        <w:rPr>
          <w:rFonts w:ascii="仿宋_GB2312" w:eastAsia="仿宋_GB2312"/>
          <w:sz w:val="32"/>
          <w:szCs w:val="32"/>
        </w:rPr>
      </w:pPr>
      <w:r>
        <w:rPr>
          <w:rFonts w:hint="eastAsia" w:ascii="仿宋_GB2312" w:eastAsia="仿宋_GB2312"/>
          <w:sz w:val="32"/>
          <w:szCs w:val="32"/>
        </w:rPr>
        <w:t>3.负责对准东开发区</w:t>
      </w:r>
      <w:r>
        <w:rPr>
          <w:rFonts w:hint="eastAsia" w:ascii="仿宋_GB2312" w:eastAsia="仿宋_GB2312"/>
          <w:sz w:val="32"/>
          <w:szCs w:val="32"/>
          <w:lang w:eastAsia="zh-CN"/>
        </w:rPr>
        <w:t>木垒哈萨克自治县</w:t>
      </w:r>
      <w:r>
        <w:rPr>
          <w:rFonts w:hint="eastAsia" w:ascii="仿宋_GB2312" w:eastAsia="仿宋_GB2312"/>
          <w:sz w:val="32"/>
          <w:szCs w:val="32"/>
        </w:rPr>
        <w:t>区域内入驻企业进行宏观指导、管理、组织和协调</w:t>
      </w:r>
      <w:r>
        <w:rPr>
          <w:rFonts w:hint="eastAsia" w:ascii="仿宋_GB2312" w:eastAsia="仿宋_GB2312"/>
          <w:sz w:val="32"/>
          <w:szCs w:val="32"/>
          <w:lang w:eastAsia="zh-CN"/>
        </w:rPr>
        <w:t>，</w:t>
      </w:r>
      <w:r>
        <w:rPr>
          <w:rFonts w:hint="eastAsia" w:ascii="仿宋_GB2312" w:eastAsia="仿宋_GB2312"/>
          <w:sz w:val="32"/>
          <w:szCs w:val="32"/>
        </w:rPr>
        <w:t>维护准东开发区</w:t>
      </w:r>
      <w:r>
        <w:rPr>
          <w:rFonts w:hint="eastAsia" w:ascii="仿宋_GB2312" w:eastAsia="仿宋_GB2312"/>
          <w:sz w:val="32"/>
          <w:szCs w:val="32"/>
          <w:lang w:eastAsia="zh-CN"/>
        </w:rPr>
        <w:t>木垒哈萨克自治县</w:t>
      </w:r>
      <w:r>
        <w:rPr>
          <w:rFonts w:hint="eastAsia" w:ascii="仿宋_GB2312" w:eastAsia="仿宋_GB2312"/>
          <w:sz w:val="32"/>
          <w:szCs w:val="32"/>
        </w:rPr>
        <w:t>区域内企业的合法权益</w:t>
      </w:r>
      <w:r>
        <w:rPr>
          <w:rFonts w:hint="eastAsia" w:ascii="仿宋_GB2312" w:eastAsia="仿宋_GB2312"/>
          <w:sz w:val="32"/>
          <w:szCs w:val="32"/>
          <w:lang w:eastAsia="zh-CN"/>
        </w:rPr>
        <w:t>，</w:t>
      </w:r>
      <w:r>
        <w:rPr>
          <w:rFonts w:hint="eastAsia" w:ascii="仿宋_GB2312" w:eastAsia="仿宋_GB2312"/>
          <w:sz w:val="32"/>
          <w:szCs w:val="32"/>
        </w:rPr>
        <w:t>协调相关部门为企业做好服务工作。</w:t>
      </w:r>
    </w:p>
    <w:p w14:paraId="36D93B21">
      <w:pPr>
        <w:ind w:firstLine="640" w:firstLineChars="200"/>
        <w:rPr>
          <w:rFonts w:ascii="仿宋_GB2312" w:eastAsia="仿宋_GB2312"/>
          <w:sz w:val="32"/>
          <w:szCs w:val="32"/>
        </w:rPr>
      </w:pPr>
      <w:r>
        <w:rPr>
          <w:rFonts w:hint="eastAsia" w:ascii="仿宋_GB2312" w:eastAsia="仿宋_GB2312"/>
          <w:sz w:val="32"/>
          <w:szCs w:val="32"/>
        </w:rPr>
        <w:t>4.完成县委、县人民政府交办的其他工作。</w:t>
      </w:r>
    </w:p>
    <w:p w14:paraId="46BE2B64">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08938355">
      <w:pPr>
        <w:ind w:firstLine="640" w:firstLineChars="200"/>
        <w:rPr>
          <w:rFonts w:ascii="仿宋_GB2312" w:eastAsia="仿宋_GB2312"/>
          <w:sz w:val="32"/>
          <w:szCs w:val="32"/>
        </w:rPr>
      </w:pPr>
      <w:r>
        <w:rPr>
          <w:rFonts w:hint="eastAsia" w:ascii="仿宋_GB2312" w:eastAsia="仿宋_GB2312"/>
          <w:sz w:val="32"/>
          <w:szCs w:val="32"/>
        </w:rPr>
        <w:t>木垒哈萨克自治县准东社会事务管理中心2023年度，实有人数6人，其中：在职人员6人，离休人员0人，退休人员0人。</w:t>
      </w:r>
    </w:p>
    <w:p w14:paraId="2C18B34E">
      <w:pPr>
        <w:ind w:firstLine="640" w:firstLineChars="200"/>
        <w:rPr>
          <w:rFonts w:ascii="仿宋_GB2312" w:eastAsia="仿宋_GB2312"/>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eastAsia="仿宋_GB2312"/>
          <w:sz w:val="32"/>
          <w:szCs w:val="32"/>
        </w:rPr>
        <w:t>单位无下属预算单位，下设2个处室，分别是：综合办公室、协调管理科。</w:t>
      </w:r>
    </w:p>
    <w:p w14:paraId="610F0886">
      <w:pPr>
        <w:jc w:val="center"/>
        <w:outlineLvl w:val="0"/>
        <w:rPr>
          <w:rFonts w:hint="eastAsia" w:ascii="黑体" w:hAnsi="黑体" w:eastAsia="黑体"/>
          <w:sz w:val="32"/>
          <w:szCs w:val="32"/>
        </w:rPr>
      </w:pPr>
      <w:bookmarkStart w:id="6" w:name="_Toc29374"/>
      <w:bookmarkStart w:id="7" w:name="_Toc3092"/>
      <w:r>
        <w:rPr>
          <w:rFonts w:hint="eastAsia" w:ascii="黑体" w:hAnsi="黑体" w:eastAsia="黑体"/>
          <w:sz w:val="32"/>
          <w:szCs w:val="32"/>
        </w:rPr>
        <w:t>第二部分 部门决算情况说明</w:t>
      </w:r>
      <w:bookmarkEnd w:id="6"/>
      <w:bookmarkEnd w:id="7"/>
    </w:p>
    <w:p w14:paraId="18C6E0A3">
      <w:pPr>
        <w:ind w:firstLine="640" w:firstLineChars="200"/>
        <w:outlineLvl w:val="1"/>
        <w:rPr>
          <w:rFonts w:hint="eastAsia" w:ascii="黑体" w:hAnsi="黑体" w:eastAsia="黑体" w:cs="宋体"/>
          <w:bCs/>
          <w:kern w:val="0"/>
          <w:sz w:val="32"/>
          <w:szCs w:val="32"/>
        </w:rPr>
      </w:pPr>
      <w:bookmarkStart w:id="8" w:name="_Toc12566"/>
      <w:bookmarkStart w:id="9" w:name="_Toc25314"/>
      <w:r>
        <w:rPr>
          <w:rFonts w:hint="eastAsia" w:ascii="黑体" w:hAnsi="黑体" w:eastAsia="黑体" w:cs="宋体"/>
          <w:bCs/>
          <w:kern w:val="0"/>
          <w:sz w:val="32"/>
          <w:szCs w:val="32"/>
        </w:rPr>
        <w:t>一、收入支出决算总体情况说明</w:t>
      </w:r>
      <w:bookmarkEnd w:id="8"/>
      <w:bookmarkEnd w:id="9"/>
    </w:p>
    <w:p w14:paraId="20A48C88">
      <w:pPr>
        <w:ind w:firstLine="640" w:firstLineChars="200"/>
        <w:rPr>
          <w:rFonts w:ascii="仿宋_GB2312" w:eastAsia="仿宋_GB2312"/>
          <w:sz w:val="32"/>
          <w:szCs w:val="32"/>
        </w:rPr>
      </w:pPr>
      <w:r>
        <w:rPr>
          <w:rFonts w:hint="eastAsia" w:ascii="仿宋_GB2312" w:eastAsia="仿宋_GB2312"/>
          <w:sz w:val="32"/>
          <w:szCs w:val="32"/>
        </w:rPr>
        <w:t>2023年度收入总计87.77万元，其中：本年收入合计87.77万元，使用非财政拨款结余0.00万元，年初结转和结余0.00万元。</w:t>
      </w:r>
    </w:p>
    <w:p w14:paraId="63B0038A">
      <w:pPr>
        <w:ind w:firstLine="640" w:firstLineChars="200"/>
        <w:rPr>
          <w:rFonts w:ascii="仿宋_GB2312" w:eastAsia="仿宋_GB2312"/>
          <w:sz w:val="32"/>
          <w:szCs w:val="32"/>
        </w:rPr>
      </w:pPr>
      <w:r>
        <w:rPr>
          <w:rFonts w:hint="eastAsia" w:ascii="仿宋_GB2312" w:eastAsia="仿宋_GB2312"/>
          <w:sz w:val="32"/>
          <w:szCs w:val="32"/>
        </w:rPr>
        <w:t>2023年度支出总计87.77万元，其中：本年支出合计87.77万元，结余分配0.00万元，年末结转和结余0.00万元。</w:t>
      </w:r>
    </w:p>
    <w:p w14:paraId="72849F92">
      <w:pPr>
        <w:ind w:firstLine="640" w:firstLineChars="200"/>
        <w:rPr>
          <w:rFonts w:ascii="仿宋_GB2312" w:eastAsia="仿宋_GB2312"/>
          <w:sz w:val="32"/>
          <w:szCs w:val="32"/>
        </w:rPr>
      </w:pPr>
      <w:r>
        <w:rPr>
          <w:rFonts w:hint="eastAsia" w:ascii="仿宋_GB2312" w:eastAsia="仿宋_GB2312"/>
          <w:sz w:val="32"/>
          <w:szCs w:val="32"/>
        </w:rPr>
        <w:t>收入支出总体与上年相比，增加26.11万元，增长42.35%，主要原因是：单位本年人员增加，相应人员工资、津贴补贴、奖金增加。</w:t>
      </w:r>
    </w:p>
    <w:p w14:paraId="64EA8718">
      <w:pPr>
        <w:ind w:firstLine="640" w:firstLineChars="200"/>
        <w:jc w:val="left"/>
        <w:outlineLvl w:val="1"/>
        <w:rPr>
          <w:rFonts w:hint="eastAsia"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14:paraId="144D82A8">
      <w:pPr>
        <w:ind w:firstLine="640" w:firstLineChars="200"/>
        <w:rPr>
          <w:rFonts w:ascii="仿宋_GB2312" w:eastAsia="仿宋_GB2312"/>
          <w:sz w:val="32"/>
          <w:szCs w:val="32"/>
        </w:rPr>
      </w:pPr>
      <w:r>
        <w:rPr>
          <w:rFonts w:hint="eastAsia" w:ascii="仿宋_GB2312" w:eastAsia="仿宋_GB2312"/>
          <w:sz w:val="32"/>
          <w:szCs w:val="32"/>
        </w:rPr>
        <w:t>本年收入87.77万元，其中：财政拨款收入87.77万元，占100.00%；上级补助收入0.00万元，占0.00%；事业收入0.00万元，占0.00%；经营收入0.00万元，占0.00%；附属单位上缴收入0.00万元，占0.00%；其他收入0.00万元，占0.00%。</w:t>
      </w:r>
    </w:p>
    <w:p w14:paraId="7C9A1FD3">
      <w:pPr>
        <w:ind w:firstLine="640" w:firstLineChars="200"/>
        <w:jc w:val="left"/>
        <w:outlineLvl w:val="1"/>
        <w:rPr>
          <w:rFonts w:hint="eastAsia"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14:paraId="3FC3D5B7">
      <w:pPr>
        <w:ind w:firstLine="640" w:firstLineChars="200"/>
        <w:rPr>
          <w:rFonts w:ascii="仿宋_GB2312" w:eastAsia="仿宋_GB2312"/>
          <w:sz w:val="32"/>
          <w:szCs w:val="32"/>
        </w:rPr>
      </w:pPr>
      <w:r>
        <w:rPr>
          <w:rFonts w:hint="eastAsia" w:ascii="仿宋_GB2312" w:eastAsia="仿宋_GB2312"/>
          <w:sz w:val="32"/>
          <w:szCs w:val="32"/>
        </w:rPr>
        <w:t>本年支出87.77万元，其中：基本支出87.77万元，占100.00%；项目支出0.00万元，占0.00%；上缴上级支出0.00万元，占0.00%；经营支出0.00万元，占0.00%；对附属单位补助支出0.00万元，占0.00%。</w:t>
      </w:r>
    </w:p>
    <w:p w14:paraId="56EAB541">
      <w:pPr>
        <w:ind w:firstLine="640" w:firstLineChars="200"/>
        <w:jc w:val="left"/>
        <w:outlineLvl w:val="1"/>
        <w:rPr>
          <w:rFonts w:hint="eastAsia"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14:paraId="05386E69">
      <w:pPr>
        <w:ind w:firstLine="640" w:firstLineChars="200"/>
        <w:rPr>
          <w:rFonts w:ascii="仿宋_GB2312" w:eastAsia="仿宋_GB2312"/>
          <w:sz w:val="32"/>
          <w:szCs w:val="32"/>
        </w:rPr>
      </w:pPr>
      <w:r>
        <w:rPr>
          <w:rFonts w:hint="eastAsia" w:ascii="仿宋_GB2312" w:eastAsia="仿宋_GB2312"/>
          <w:sz w:val="32"/>
          <w:szCs w:val="32"/>
        </w:rPr>
        <w:t>2023年度财政拨款收入总计87.77万元，其中：年初财政拨款结转和结余0.00万元，本年财政拨款收入87.77万元。财政拨款支出总计87.77万元，其中：年末财政拨款结转和结余0.00万元，本年财政拨款支出87.77万元。</w:t>
      </w:r>
    </w:p>
    <w:p w14:paraId="60F065EB">
      <w:pPr>
        <w:ind w:firstLine="640" w:firstLineChars="200"/>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eastAsia="zh-CN"/>
        </w:rPr>
        <w:t>，</w:t>
      </w:r>
      <w:r>
        <w:rPr>
          <w:rFonts w:hint="eastAsia" w:ascii="仿宋_GB2312" w:eastAsia="仿宋_GB2312"/>
          <w:sz w:val="32"/>
          <w:szCs w:val="32"/>
        </w:rPr>
        <w:t>增加26.11万元，增长42.35%,主要原因是：单位本年人员增加，相应人员工资、津贴补贴、奖金增加。与年初预算相比，年初预算数68.24万元，决算数87.77万元，预决算差异率28.62%，主要原因是：单位本年人员增加，年中追加人员工资、津贴补贴、奖金等。</w:t>
      </w:r>
    </w:p>
    <w:p w14:paraId="0182D5EC">
      <w:pPr>
        <w:ind w:firstLine="640" w:firstLineChars="200"/>
        <w:jc w:val="left"/>
        <w:outlineLvl w:val="1"/>
        <w:rPr>
          <w:rFonts w:hint="eastAsia"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14:paraId="13556148">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14:paraId="4D81B084">
      <w:pPr>
        <w:ind w:firstLine="640" w:firstLineChars="200"/>
        <w:rPr>
          <w:rFonts w:ascii="仿宋_GB2312" w:eastAsia="仿宋_GB2312"/>
          <w:sz w:val="32"/>
          <w:szCs w:val="32"/>
        </w:rPr>
      </w:pPr>
      <w:r>
        <w:rPr>
          <w:rFonts w:hint="eastAsia" w:ascii="仿宋_GB2312" w:eastAsia="仿宋_GB2312"/>
          <w:sz w:val="32"/>
          <w:szCs w:val="32"/>
        </w:rPr>
        <w:t>2023年度一般公共预算财政拨款支出87.77万元，占本年支出合计的100.00%。与上年相比，增加26.11万元，增长42.35%,主要原因是：单位本年人员增加，相应人员工资、津贴补贴、奖金增加。与年初预算相比，年初预算数68.24万元，决算数87.77万元，预决算差异率28.62%，主要原因是：单位本年人员增加，年中追加人员工资、津贴补贴、奖金等。</w:t>
      </w:r>
    </w:p>
    <w:p w14:paraId="035DA77D">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14:paraId="3AEF1504">
      <w:pPr>
        <w:ind w:firstLine="640" w:firstLineChars="200"/>
        <w:rPr>
          <w:rFonts w:ascii="仿宋_GB2312" w:eastAsia="仿宋_GB2312"/>
          <w:sz w:val="32"/>
          <w:szCs w:val="32"/>
        </w:rPr>
      </w:pPr>
      <w:r>
        <w:rPr>
          <w:rFonts w:ascii="仿宋_GB2312" w:eastAsia="仿宋_GB2312"/>
          <w:sz w:val="32"/>
          <w:szCs w:val="32"/>
        </w:rPr>
        <w:t>1.一般公共服务支出（类）</w:t>
      </w:r>
      <w:r>
        <w:rPr>
          <w:rFonts w:hint="eastAsia" w:ascii="仿宋_GB2312" w:eastAsia="仿宋_GB2312"/>
          <w:sz w:val="32"/>
          <w:szCs w:val="32"/>
        </w:rPr>
        <w:t>73.58</w:t>
      </w:r>
      <w:r>
        <w:rPr>
          <w:rFonts w:ascii="仿宋_GB2312" w:eastAsia="仿宋_GB2312"/>
          <w:sz w:val="32"/>
          <w:szCs w:val="32"/>
        </w:rPr>
        <w:t>万元，占</w:t>
      </w:r>
      <w:r>
        <w:rPr>
          <w:rFonts w:hint="eastAsia" w:ascii="仿宋_GB2312" w:eastAsia="仿宋_GB2312"/>
          <w:sz w:val="32"/>
          <w:szCs w:val="32"/>
        </w:rPr>
        <w:t>83.83</w:t>
      </w:r>
      <w:r>
        <w:rPr>
          <w:rFonts w:ascii="仿宋_GB2312" w:eastAsia="仿宋_GB2312"/>
          <w:sz w:val="32"/>
          <w:szCs w:val="32"/>
        </w:rPr>
        <w:t>%；</w:t>
      </w:r>
    </w:p>
    <w:p w14:paraId="1CF1CAF1">
      <w:pPr>
        <w:ind w:firstLine="640" w:firstLineChars="200"/>
        <w:rPr>
          <w:rFonts w:ascii="仿宋_GB2312" w:eastAsia="仿宋_GB2312"/>
          <w:sz w:val="32"/>
          <w:szCs w:val="32"/>
        </w:rPr>
      </w:pPr>
      <w:r>
        <w:rPr>
          <w:rFonts w:hint="eastAsia" w:ascii="仿宋_GB2312" w:eastAsia="仿宋_GB2312"/>
          <w:sz w:val="32"/>
          <w:szCs w:val="32"/>
        </w:rPr>
        <w:t>2</w:t>
      </w:r>
      <w:r>
        <w:rPr>
          <w:rFonts w:ascii="仿宋_GB2312" w:eastAsia="仿宋_GB2312"/>
          <w:sz w:val="32"/>
          <w:szCs w:val="32"/>
        </w:rPr>
        <w:t>.社会保障和就业支出（类）</w:t>
      </w:r>
      <w:r>
        <w:rPr>
          <w:rFonts w:hint="eastAsia" w:ascii="仿宋_GB2312" w:eastAsia="仿宋_GB2312"/>
          <w:sz w:val="32"/>
          <w:szCs w:val="32"/>
        </w:rPr>
        <w:t>8.24</w:t>
      </w:r>
      <w:r>
        <w:rPr>
          <w:rFonts w:ascii="仿宋_GB2312" w:eastAsia="仿宋_GB2312"/>
          <w:sz w:val="32"/>
          <w:szCs w:val="32"/>
        </w:rPr>
        <w:t>万元，占</w:t>
      </w:r>
      <w:r>
        <w:rPr>
          <w:rFonts w:hint="eastAsia" w:ascii="仿宋_GB2312" w:eastAsia="仿宋_GB2312"/>
          <w:sz w:val="32"/>
          <w:szCs w:val="32"/>
        </w:rPr>
        <w:t>9.39</w:t>
      </w:r>
      <w:r>
        <w:rPr>
          <w:rFonts w:ascii="仿宋_GB2312" w:eastAsia="仿宋_GB2312"/>
          <w:sz w:val="32"/>
          <w:szCs w:val="32"/>
        </w:rPr>
        <w:t>%；</w:t>
      </w:r>
    </w:p>
    <w:p w14:paraId="219E4A5A">
      <w:pPr>
        <w:ind w:firstLine="640" w:firstLineChars="200"/>
        <w:rPr>
          <w:rFonts w:ascii="仿宋_GB2312" w:eastAsia="仿宋_GB2312"/>
          <w:sz w:val="32"/>
          <w:szCs w:val="32"/>
        </w:rPr>
      </w:pPr>
      <w:r>
        <w:rPr>
          <w:rFonts w:hint="eastAsia" w:ascii="仿宋_GB2312" w:eastAsia="仿宋_GB2312"/>
          <w:sz w:val="32"/>
          <w:szCs w:val="32"/>
        </w:rPr>
        <w:t>3</w:t>
      </w:r>
      <w:r>
        <w:rPr>
          <w:rFonts w:ascii="仿宋_GB2312" w:eastAsia="仿宋_GB2312"/>
          <w:sz w:val="32"/>
          <w:szCs w:val="32"/>
        </w:rPr>
        <w:t>.住房保障支出（类）</w:t>
      </w:r>
      <w:r>
        <w:rPr>
          <w:rFonts w:hint="eastAsia" w:ascii="仿宋_GB2312" w:eastAsia="仿宋_GB2312"/>
          <w:sz w:val="32"/>
          <w:szCs w:val="32"/>
        </w:rPr>
        <w:t>5.95</w:t>
      </w:r>
      <w:r>
        <w:rPr>
          <w:rFonts w:ascii="仿宋_GB2312" w:eastAsia="仿宋_GB2312"/>
          <w:sz w:val="32"/>
          <w:szCs w:val="32"/>
        </w:rPr>
        <w:t>万元，占</w:t>
      </w:r>
      <w:r>
        <w:rPr>
          <w:rFonts w:hint="eastAsia" w:ascii="仿宋_GB2312" w:eastAsia="仿宋_GB2312"/>
          <w:sz w:val="32"/>
          <w:szCs w:val="32"/>
        </w:rPr>
        <w:t>6.78</w:t>
      </w:r>
      <w:r>
        <w:rPr>
          <w:rFonts w:ascii="仿宋_GB2312" w:eastAsia="仿宋_GB2312"/>
          <w:sz w:val="32"/>
          <w:szCs w:val="32"/>
        </w:rPr>
        <w:t>%</w:t>
      </w:r>
      <w:r>
        <w:rPr>
          <w:rFonts w:hint="eastAsia" w:ascii="仿宋_GB2312" w:eastAsia="仿宋_GB2312"/>
          <w:sz w:val="32"/>
          <w:szCs w:val="32"/>
        </w:rPr>
        <w:t>。</w:t>
      </w:r>
    </w:p>
    <w:p w14:paraId="669C9F3C">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14:paraId="2195A8F3">
      <w:pPr>
        <w:ind w:firstLine="640" w:firstLineChars="200"/>
        <w:rPr>
          <w:rFonts w:ascii="仿宋_GB2312" w:eastAsia="仿宋_GB2312"/>
          <w:sz w:val="32"/>
          <w:szCs w:val="32"/>
        </w:rPr>
      </w:pPr>
      <w:r>
        <w:rPr>
          <w:rFonts w:hint="eastAsia" w:ascii="仿宋_GB2312" w:eastAsia="仿宋_GB2312"/>
          <w:sz w:val="32"/>
          <w:szCs w:val="32"/>
        </w:rPr>
        <w:t>1.住房保障支出（类）住房改革支出（款）住房公积金（项）:支出决算数为5.95万元，比上年决算增加1.84万元，增长44.77%，主要原因是：单位本年人员增加，相应人员公积金缴费增加。</w:t>
      </w:r>
    </w:p>
    <w:p w14:paraId="057F3830">
      <w:pPr>
        <w:ind w:firstLine="640" w:firstLineChars="200"/>
        <w:rPr>
          <w:rFonts w:ascii="仿宋_GB2312" w:eastAsia="仿宋_GB2312"/>
          <w:sz w:val="32"/>
          <w:szCs w:val="32"/>
        </w:rPr>
      </w:pPr>
      <w:r>
        <w:rPr>
          <w:rFonts w:hint="eastAsia" w:ascii="仿宋_GB2312" w:eastAsia="仿宋_GB2312"/>
          <w:sz w:val="32"/>
          <w:szCs w:val="32"/>
        </w:rPr>
        <w:t>2.一般公共服务支出（类）商贸事务（款）行政运行（项）:支出决算数为73.58万元，比上年决算增加27.29万元，增长58.95%，主要原因是：单位本年人员增加，相应人员工资、津贴补贴、奖金增加。</w:t>
      </w:r>
    </w:p>
    <w:p w14:paraId="7C9B4EF8">
      <w:pPr>
        <w:ind w:firstLine="640" w:firstLineChars="200"/>
        <w:rPr>
          <w:rFonts w:ascii="仿宋_GB2312" w:eastAsia="仿宋_GB2312"/>
          <w:sz w:val="32"/>
          <w:szCs w:val="32"/>
        </w:rPr>
      </w:pPr>
      <w:r>
        <w:rPr>
          <w:rFonts w:hint="eastAsia" w:ascii="仿宋_GB2312" w:eastAsia="仿宋_GB2312"/>
          <w:sz w:val="32"/>
          <w:szCs w:val="32"/>
        </w:rPr>
        <w:t>3.社会保障和就业支出（类）行政事业单位养老支出（款）机关事业单位基本养老保险缴费支出（项）:支出决算数为8.24万元，比上年决算增加2.90万元，增长54.31%，主要原因是：单位本年人员增加，相应人员养老保险缴费增加。</w:t>
      </w:r>
    </w:p>
    <w:p w14:paraId="6D316F82">
      <w:pPr>
        <w:ind w:firstLine="640" w:firstLineChars="200"/>
        <w:rPr>
          <w:rFonts w:ascii="仿宋_GB2312" w:eastAsia="仿宋_GB2312"/>
          <w:sz w:val="32"/>
          <w:szCs w:val="32"/>
        </w:rPr>
      </w:pPr>
      <w:r>
        <w:rPr>
          <w:rFonts w:hint="eastAsia" w:ascii="仿宋_GB2312" w:eastAsia="仿宋_GB2312"/>
          <w:sz w:val="32"/>
          <w:szCs w:val="32"/>
        </w:rPr>
        <w:t>4.社会保障和就业支出（类）行政事业单位养老支出（款）机关事业单位职业年金缴费支出（项）:支出决算数为0.00万元，比上年决算减少5.93万元，下降100%，主要原因是：单位本年</w:t>
      </w:r>
      <w:r>
        <w:rPr>
          <w:rFonts w:hint="eastAsia" w:ascii="仿宋_GB2312" w:eastAsia="仿宋_GB2312"/>
          <w:sz w:val="32"/>
          <w:szCs w:val="32"/>
          <w:lang w:val="en-US" w:eastAsia="zh-CN"/>
        </w:rPr>
        <w:t>一次性</w:t>
      </w:r>
      <w:r>
        <w:rPr>
          <w:rFonts w:hint="eastAsia" w:ascii="仿宋_GB2312" w:eastAsia="仿宋_GB2312"/>
          <w:sz w:val="32"/>
          <w:szCs w:val="32"/>
        </w:rPr>
        <w:t>职业年金缴费较上年减少。</w:t>
      </w:r>
    </w:p>
    <w:p w14:paraId="1C8FD254">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54849CFB">
      <w:pPr>
        <w:ind w:firstLine="640" w:firstLineChars="200"/>
        <w:rPr>
          <w:rFonts w:ascii="仿宋_GB2312" w:eastAsia="仿宋_GB2312"/>
          <w:sz w:val="32"/>
          <w:szCs w:val="32"/>
        </w:rPr>
      </w:pPr>
      <w:r>
        <w:rPr>
          <w:rFonts w:hint="eastAsia" w:ascii="仿宋_GB2312" w:eastAsia="仿宋_GB2312"/>
          <w:sz w:val="32"/>
          <w:szCs w:val="32"/>
        </w:rPr>
        <w:t>2023年度一般公共预算财政拨款基本支出87.77万元，其中：人员经费77.27万元，包括：基本工资、津贴补贴、奖金、机关事业单位基本养老保险缴费、职工基本医疗保险缴费、其他社会保障缴费、住房公积金。</w:t>
      </w:r>
    </w:p>
    <w:p w14:paraId="24B2E82F">
      <w:pPr>
        <w:ind w:firstLine="640" w:firstLineChars="200"/>
        <w:rPr>
          <w:rFonts w:ascii="仿宋_GB2312" w:eastAsia="仿宋_GB2312"/>
          <w:sz w:val="32"/>
          <w:szCs w:val="32"/>
        </w:rPr>
      </w:pPr>
      <w:r>
        <w:rPr>
          <w:rFonts w:hint="eastAsia" w:ascii="仿宋_GB2312" w:eastAsia="仿宋_GB2312"/>
          <w:sz w:val="32"/>
          <w:szCs w:val="32"/>
        </w:rPr>
        <w:t>公用经费10.50万元，包括：办公费、邮电费、公务用车运行维护费、其他商品和服务支出。</w:t>
      </w:r>
    </w:p>
    <w:p w14:paraId="7E8227F7">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62442737">
      <w:pPr>
        <w:ind w:firstLine="640" w:firstLineChars="200"/>
        <w:rPr>
          <w:rFonts w:ascii="仿宋_GB2312" w:eastAsia="仿宋_GB2312"/>
          <w:sz w:val="32"/>
          <w:szCs w:val="32"/>
        </w:rPr>
      </w:pPr>
      <w:r>
        <w:rPr>
          <w:rFonts w:hint="eastAsia" w:ascii="仿宋_GB2312" w:eastAsia="仿宋_GB2312"/>
          <w:sz w:val="32"/>
          <w:szCs w:val="32"/>
        </w:rPr>
        <w:t>2023年度财政拨款“三公”经费支出0.05万元，比上年减少0.04万元，下降44.44%,主要原因是：绿色出行，车辆维修维护费、燃油费等减少。其中：因公出国（境）费支出0.00万元，占0.00%，比上年增加0.00万元，增长0.00%,主要原因是：单位本年无此项经费；公务用车购置及运行维护费支出0.05万元，占100.00%，比上年减少0.04万元，下降44.44%,主要原因是：绿色出行，车辆维修维护费、燃油费等减少；公务接待费支出0.00万元，占0.00%，比上年增加0.00万元，增长0.00%,主要原因是：单位本年无此项经费。</w:t>
      </w:r>
    </w:p>
    <w:p w14:paraId="6BA145D0">
      <w:pPr>
        <w:ind w:firstLine="640" w:firstLineChars="200"/>
        <w:rPr>
          <w:rFonts w:ascii="仿宋_GB2312" w:eastAsia="仿宋_GB2312"/>
          <w:sz w:val="32"/>
          <w:szCs w:val="32"/>
        </w:rPr>
      </w:pPr>
      <w:r>
        <w:rPr>
          <w:rFonts w:hint="eastAsia" w:ascii="仿宋_GB2312" w:eastAsia="仿宋_GB2312"/>
          <w:sz w:val="32"/>
          <w:szCs w:val="32"/>
        </w:rPr>
        <w:t>具体情况如下：</w:t>
      </w:r>
    </w:p>
    <w:p w14:paraId="25003ECA">
      <w:pPr>
        <w:ind w:firstLine="640" w:firstLineChars="200"/>
        <w:rPr>
          <w:rFonts w:ascii="仿宋_GB2312" w:eastAsia="仿宋_GB2312"/>
          <w:sz w:val="32"/>
          <w:szCs w:val="32"/>
        </w:rPr>
      </w:pPr>
      <w:r>
        <w:rPr>
          <w:rFonts w:hint="eastAsia" w:ascii="仿宋_GB2312" w:eastAsia="仿宋_GB2312"/>
          <w:sz w:val="32"/>
          <w:szCs w:val="32"/>
        </w:rPr>
        <w:t>因公出国（境）费支出0.00万元，开支内容包括单位本年无此项经费。单位全年安排的因公出国（境）团组0个，因公出国（境）0人次。</w:t>
      </w:r>
    </w:p>
    <w:p w14:paraId="15759989">
      <w:pPr>
        <w:ind w:firstLine="640" w:firstLineChars="200"/>
        <w:rPr>
          <w:rFonts w:ascii="仿宋_GB2312" w:eastAsia="仿宋_GB2312"/>
          <w:sz w:val="32"/>
          <w:szCs w:val="32"/>
        </w:rPr>
      </w:pPr>
      <w:r>
        <w:rPr>
          <w:rFonts w:hint="eastAsia" w:ascii="仿宋_GB2312" w:eastAsia="仿宋_GB2312"/>
          <w:sz w:val="32"/>
          <w:szCs w:val="32"/>
        </w:rPr>
        <w:t>公务用车购置及运行维护费0.05万元，其中：公务用车购置费0.00万元，公务用车运行维护费0.05万元。公务用车运行维护费开支内容包括公务用车维修维护费、燃油费、保险费、过路费等。公务用车购置数0辆，公务用车保有量1辆。国有资产占用情况中固定资产车辆1辆，与公务用车保有量差异原因是：本单位固定资产车辆与公务用车保有量一致无差异。</w:t>
      </w:r>
    </w:p>
    <w:p w14:paraId="5B8FE18D">
      <w:pPr>
        <w:ind w:firstLine="640" w:firstLineChars="200"/>
        <w:rPr>
          <w:rFonts w:ascii="仿宋_GB2312" w:eastAsia="仿宋_GB2312"/>
          <w:sz w:val="32"/>
          <w:szCs w:val="32"/>
        </w:rPr>
      </w:pPr>
      <w:r>
        <w:rPr>
          <w:rFonts w:hint="eastAsia" w:ascii="仿宋_GB2312" w:eastAsia="仿宋_GB2312"/>
          <w:sz w:val="32"/>
          <w:szCs w:val="32"/>
        </w:rPr>
        <w:t>公务接待费0.00万元，开支内容包括单位本年无此项经费。单位全年安排的国内公务接待0批次，0人次。</w:t>
      </w:r>
    </w:p>
    <w:p w14:paraId="39CCD4AF">
      <w:pPr>
        <w:ind w:firstLine="640" w:firstLineChars="200"/>
        <w:rPr>
          <w:rFonts w:ascii="仿宋_GB2312" w:eastAsia="仿宋_GB2312"/>
          <w:sz w:val="32"/>
          <w:szCs w:val="32"/>
        </w:rPr>
      </w:pPr>
      <w:r>
        <w:rPr>
          <w:rFonts w:hint="eastAsia" w:ascii="仿宋_GB2312" w:eastAsia="仿宋_GB2312"/>
          <w:sz w:val="32"/>
          <w:szCs w:val="32"/>
        </w:rPr>
        <w:t>与全年预算相比,财政拨款“三公”经费支出全年预算数0.05万元，决算数0.05万元，预决算差异率0.00%，主要原因是：严格按预算执行，预决算对比无差异。其中：因公出国（境）费全年预算数0.00万元，决算数0.00万元，预决算差异率0.00%，主要原因是：单位本年无此项经费；公务用车购置费全年预算数0.00万元，决算数0.00万元，预决算差异率0.00%，主要原因是：单位本年无此项经费；公务用车运行费全年预算数0.05万元，决算数0.05万元，预决算差异率0.00%，主要原因是：严格按预算执行，预决算对比无差异；公务接待费全年预算数0.00万元，决算数0.00万元，预决算差异率0.00%，主要原因是：单位本年无此项经费。</w:t>
      </w:r>
    </w:p>
    <w:p w14:paraId="02081E16">
      <w:pPr>
        <w:ind w:firstLine="640" w:firstLineChars="200"/>
        <w:jc w:val="left"/>
        <w:outlineLvl w:val="1"/>
        <w:rPr>
          <w:rFonts w:hint="eastAsia" w:ascii="黑体" w:hAnsi="黑体" w:eastAsia="黑体" w:cs="宋体"/>
          <w:bCs/>
          <w:kern w:val="0"/>
          <w:sz w:val="32"/>
          <w:szCs w:val="32"/>
        </w:rPr>
      </w:pPr>
      <w:bookmarkStart w:id="18" w:name="_Toc5810"/>
      <w:bookmarkStart w:id="19" w:name="_Toc7927"/>
      <w:r>
        <w:rPr>
          <w:rFonts w:hint="eastAsia" w:ascii="黑体" w:hAnsi="黑体" w:eastAsia="黑体" w:cs="宋体"/>
          <w:bCs/>
          <w:kern w:val="0"/>
          <w:sz w:val="32"/>
          <w:szCs w:val="32"/>
        </w:rPr>
        <w:t>八、政府性基金预算财政拨款收入支出决算情况说明</w:t>
      </w:r>
      <w:bookmarkEnd w:id="18"/>
      <w:bookmarkEnd w:id="19"/>
    </w:p>
    <w:p w14:paraId="4809015F">
      <w:pPr>
        <w:ind w:firstLine="640" w:firstLineChars="200"/>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14:paraId="5EAEC907">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577FA530">
      <w:pPr>
        <w:ind w:firstLine="640" w:firstLineChars="200"/>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6FA37941">
      <w:pPr>
        <w:ind w:firstLine="640" w:firstLineChars="200"/>
        <w:jc w:val="left"/>
        <w:outlineLvl w:val="1"/>
        <w:rPr>
          <w:rFonts w:hint="eastAsia" w:ascii="黑体" w:hAnsi="黑体" w:eastAsia="黑体" w:cs="宋体"/>
          <w:bCs/>
          <w:kern w:val="0"/>
          <w:sz w:val="32"/>
          <w:szCs w:val="32"/>
        </w:rPr>
      </w:pPr>
      <w:bookmarkStart w:id="20" w:name="_Toc7314"/>
      <w:bookmarkStart w:id="21" w:name="_Toc1235"/>
      <w:r>
        <w:rPr>
          <w:rFonts w:hint="eastAsia" w:ascii="黑体" w:hAnsi="黑体" w:eastAsia="黑体" w:cs="宋体"/>
          <w:bCs/>
          <w:kern w:val="0"/>
          <w:sz w:val="32"/>
          <w:szCs w:val="32"/>
        </w:rPr>
        <w:t>十、其他重要事项的情况说明</w:t>
      </w:r>
      <w:bookmarkEnd w:id="20"/>
      <w:bookmarkEnd w:id="21"/>
    </w:p>
    <w:p w14:paraId="6D6FB0F1">
      <w:pPr>
        <w:ind w:firstLine="640" w:firstLineChars="200"/>
        <w:jc w:val="left"/>
        <w:outlineLvl w:val="2"/>
        <w:rPr>
          <w:rFonts w:hint="eastAsia" w:ascii="黑体" w:hAnsi="黑体" w:eastAsia="黑体"/>
          <w:sz w:val="32"/>
          <w:szCs w:val="32"/>
        </w:rPr>
      </w:pPr>
      <w:bookmarkStart w:id="22" w:name="_Toc13105"/>
      <w:bookmarkStart w:id="23" w:name="_Toc14519"/>
      <w:r>
        <w:rPr>
          <w:rFonts w:hint="eastAsia" w:ascii="黑体" w:hAnsi="黑体" w:eastAsia="黑体"/>
          <w:sz w:val="32"/>
          <w:szCs w:val="32"/>
        </w:rPr>
        <w:t>（一）机关运行经费支出情况</w:t>
      </w:r>
      <w:bookmarkEnd w:id="22"/>
      <w:bookmarkEnd w:id="23"/>
    </w:p>
    <w:p w14:paraId="70E3F0FA">
      <w:pPr>
        <w:ind w:firstLine="640" w:firstLineChars="200"/>
        <w:rPr>
          <w:rFonts w:ascii="仿宋_GB2312" w:eastAsia="仿宋_GB2312"/>
          <w:sz w:val="32"/>
          <w:szCs w:val="32"/>
        </w:rPr>
      </w:pPr>
      <w:bookmarkStart w:id="24" w:name="_Toc26704"/>
      <w:bookmarkStart w:id="25" w:name="_Toc227"/>
      <w:r>
        <w:rPr>
          <w:rFonts w:hint="eastAsia" w:ascii="仿宋_GB2312" w:eastAsia="仿宋_GB2312"/>
          <w:sz w:val="32"/>
          <w:szCs w:val="32"/>
        </w:rPr>
        <w:t>2023年度木垒哈萨克自治县准东社会事务管理中心（事业单位）公用经费支出10.50万元，比上年增加9.85万元，增长1,515.38%，主要原因是：单位本年办公费、邮电费增加。</w:t>
      </w:r>
    </w:p>
    <w:p w14:paraId="73A0A885">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14:paraId="756DE056">
      <w:pPr>
        <w:ind w:firstLine="640" w:firstLineChars="200"/>
        <w:rPr>
          <w:rFonts w:ascii="仿宋_GB2312" w:eastAsia="仿宋_GB2312"/>
          <w:sz w:val="32"/>
          <w:szCs w:val="32"/>
        </w:rPr>
      </w:pPr>
      <w:r>
        <w:rPr>
          <w:rFonts w:hint="eastAsia" w:ascii="仿宋_GB2312" w:eastAsia="仿宋_GB2312"/>
          <w:sz w:val="32"/>
          <w:szCs w:val="32"/>
        </w:rPr>
        <w:t>2023年度政府采购支出总额3.98万元，其中：政府采购货物支出3.98万元、政府采购工程支出0.00万元、政府采购服务支出0.00万元。</w:t>
      </w:r>
    </w:p>
    <w:p w14:paraId="13444459">
      <w:pPr>
        <w:ind w:firstLine="640" w:firstLineChars="200"/>
        <w:rPr>
          <w:rFonts w:ascii="仿宋_GB2312" w:eastAsia="仿宋_GB2312"/>
          <w:sz w:val="32"/>
          <w:szCs w:val="32"/>
        </w:rPr>
      </w:pPr>
      <w:r>
        <w:rPr>
          <w:rFonts w:hint="eastAsia" w:ascii="仿宋_GB2312" w:eastAsia="仿宋_GB2312"/>
          <w:sz w:val="32"/>
          <w:szCs w:val="32"/>
        </w:rPr>
        <w:t>授予中小企业合同金额3.98万元，占政府采购支出总额的100.00</w:t>
      </w:r>
      <w:r>
        <w:rPr>
          <w:rFonts w:ascii="仿宋_GB2312" w:eastAsia="仿宋_GB2312"/>
          <w:sz w:val="32"/>
          <w:szCs w:val="32"/>
        </w:rPr>
        <w:t>%</w:t>
      </w:r>
      <w:r>
        <w:rPr>
          <w:rFonts w:hint="eastAsia" w:ascii="仿宋_GB2312" w:eastAsia="仿宋_GB2312"/>
          <w:sz w:val="32"/>
          <w:szCs w:val="32"/>
        </w:rPr>
        <w:t>，其中：授予小微企业合同金额3.98万元，占政府采购支出总额的100.00</w:t>
      </w:r>
      <w:r>
        <w:rPr>
          <w:rFonts w:ascii="仿宋_GB2312" w:eastAsia="仿宋_GB2312"/>
          <w:sz w:val="32"/>
          <w:szCs w:val="32"/>
        </w:rPr>
        <w:t>%</w:t>
      </w:r>
      <w:r>
        <w:rPr>
          <w:rFonts w:hint="eastAsia" w:ascii="仿宋_GB2312" w:eastAsia="仿宋_GB2312"/>
          <w:sz w:val="32"/>
          <w:szCs w:val="32"/>
        </w:rPr>
        <w:t>。</w:t>
      </w:r>
    </w:p>
    <w:p w14:paraId="3CFEBC9C">
      <w:pPr>
        <w:ind w:firstLine="640" w:firstLineChars="200"/>
        <w:jc w:val="left"/>
        <w:rPr>
          <w:rFonts w:eastAsia="黑体"/>
          <w:sz w:val="32"/>
          <w:szCs w:val="30"/>
          <w:lang w:val="zh-CN"/>
        </w:rPr>
      </w:pPr>
      <w:bookmarkStart w:id="26" w:name="_Toc4591"/>
      <w:bookmarkStart w:id="27" w:name="_Toc8391"/>
      <w:r>
        <w:rPr>
          <w:rFonts w:hint="eastAsia" w:eastAsia="黑体"/>
          <w:sz w:val="32"/>
          <w:szCs w:val="30"/>
          <w:lang w:val="zh-CN"/>
        </w:rPr>
        <w:t>（三）国有资产占用情况说明</w:t>
      </w:r>
      <w:bookmarkEnd w:id="26"/>
      <w:bookmarkEnd w:id="27"/>
    </w:p>
    <w:p w14:paraId="139681F1">
      <w:pPr>
        <w:ind w:firstLine="640" w:firstLineChars="200"/>
        <w:rPr>
          <w:rFonts w:ascii="仿宋_GB2312" w:eastAsia="仿宋_GB2312"/>
          <w:sz w:val="32"/>
          <w:szCs w:val="32"/>
        </w:rPr>
      </w:pPr>
      <w:r>
        <w:rPr>
          <w:rFonts w:hint="eastAsia" w:ascii="仿宋_GB2312" w:eastAsia="仿宋_GB2312"/>
          <w:sz w:val="32"/>
          <w:szCs w:val="32"/>
        </w:rPr>
        <w:t>截至2023年12月31日，固定资产原值60.84万元，房屋100.00平方米，价值8.00万元。车辆1辆，价值27.98万元，其中：副部（省）级及以上领导用车0辆、主要负责人用车0辆、机要通信用车0辆、应急保障用车0辆、执法执勤用车0辆、特种专业技术用车0辆、离退休干部服务用车0辆、其他用车1辆，其他用车主要是：业务用车；单价100万元（含）以上设备（不含车辆）0台（套）。</w:t>
      </w:r>
    </w:p>
    <w:p w14:paraId="1003C927">
      <w:pPr>
        <w:ind w:firstLine="640" w:firstLineChars="200"/>
        <w:jc w:val="left"/>
        <w:outlineLvl w:val="1"/>
        <w:rPr>
          <w:rFonts w:hint="eastAsia" w:ascii="黑体" w:hAnsi="黑体" w:eastAsia="黑体" w:cs="宋体"/>
          <w:bCs/>
          <w:kern w:val="0"/>
          <w:sz w:val="32"/>
          <w:szCs w:val="32"/>
        </w:rPr>
      </w:pPr>
      <w:bookmarkStart w:id="28" w:name="_Toc435"/>
      <w:bookmarkStart w:id="29" w:name="_Toc11283"/>
      <w:r>
        <w:rPr>
          <w:rFonts w:hint="eastAsia" w:ascii="黑体" w:hAnsi="黑体" w:eastAsia="黑体" w:cs="宋体"/>
          <w:bCs/>
          <w:kern w:val="0"/>
          <w:sz w:val="32"/>
          <w:szCs w:val="32"/>
        </w:rPr>
        <w:t>十一、预算绩效的情况说明</w:t>
      </w:r>
      <w:bookmarkEnd w:id="28"/>
      <w:bookmarkEnd w:id="29"/>
    </w:p>
    <w:p w14:paraId="7C48A565">
      <w:pPr>
        <w:ind w:firstLine="640" w:firstLineChars="200"/>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预算总额87.76万元，实际执行总额87.76万元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0个，全年预算数0.00万元，全年执行数0.00万元。预算绩效管理取得的成效：一是进一步深化了预算绩效管理工作，提高了财政资金使用效益；二是加强制度建设，提升自评质量，预算绩效取得新成效。发现的问题及原因：一是绩效管理过程缺乏系统性管理体系，主要表现在资金科室绩效考核联动性不强；二是绩效管理目标设置不科学，主要表现在目标设置过程中存在千篇一律，有些指标设置没有具体的可量化指标。下一步改进措施：一是</w:t>
      </w:r>
      <w:r>
        <w:rPr>
          <w:rFonts w:hint="eastAsia" w:ascii="仿宋_GB2312" w:eastAsia="仿宋_GB2312"/>
          <w:sz w:val="32"/>
          <w:szCs w:val="32"/>
          <w:lang w:eastAsia="zh-CN"/>
        </w:rPr>
        <w:t>加大</w:t>
      </w:r>
      <w:r>
        <w:rPr>
          <w:rFonts w:hint="eastAsia" w:ascii="仿宋_GB2312" w:eastAsia="仿宋_GB2312"/>
          <w:sz w:val="32"/>
          <w:szCs w:val="32"/>
        </w:rPr>
        <w:t>绩效评价力度，提高资金使用效益，研究制定出更为科学、合理的绩效评价指标体系，针对性地加强对专项资金项目执行和经费使用情况的绩效评价考核，促进项目按要求出成果、出效益；二是进一步规范财务管理，对本单位当年度的各项工作开展做到心中有数，统筹安排，合理配置，在以后工作中，坚持做到合理安排预算资金，不断完善支出结构，优化资金使用率，进一步完善预算管理体制。具体项目自评情况附绩效自评表及自评报告。</w:t>
      </w:r>
    </w:p>
    <w:tbl>
      <w:tblPr>
        <w:tblStyle w:val="9"/>
        <w:tblW w:w="0" w:type="auto"/>
        <w:tblInd w:w="0" w:type="dxa"/>
        <w:tblLayout w:type="autofit"/>
        <w:tblCellMar>
          <w:top w:w="0" w:type="dxa"/>
          <w:left w:w="108" w:type="dxa"/>
          <w:bottom w:w="0" w:type="dxa"/>
          <w:right w:w="108" w:type="dxa"/>
        </w:tblCellMar>
      </w:tblPr>
      <w:tblGrid>
        <w:gridCol w:w="1815"/>
        <w:gridCol w:w="1350"/>
        <w:gridCol w:w="1052"/>
        <w:gridCol w:w="850"/>
        <w:gridCol w:w="1035"/>
        <w:gridCol w:w="676"/>
        <w:gridCol w:w="1140"/>
        <w:gridCol w:w="604"/>
      </w:tblGrid>
      <w:tr w14:paraId="79F80798">
        <w:trPr>
          <w:trHeight w:val="523" w:hRule="atLeast"/>
        </w:trPr>
        <w:tc>
          <w:tcPr>
            <w:tcW w:w="0" w:type="auto"/>
            <w:gridSpan w:val="8"/>
            <w:tcBorders>
              <w:top w:val="single" w:color="auto" w:sz="4" w:space="0"/>
              <w:left w:val="single" w:color="auto" w:sz="4" w:space="0"/>
              <w:bottom w:val="single" w:color="auto" w:sz="4" w:space="0"/>
              <w:right w:val="single" w:color="auto" w:sz="4" w:space="0"/>
            </w:tcBorders>
            <w:shd w:val="clear" w:color="auto" w:fill="auto"/>
            <w:noWrap/>
            <w:vAlign w:val="center"/>
          </w:tcPr>
          <w:p w14:paraId="64C1CD9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部门（单位）整体支出绩效目标自评表</w:t>
            </w:r>
          </w:p>
        </w:tc>
      </w:tr>
      <w:tr w14:paraId="5D52F03A">
        <w:tblPrEx>
          <w:tblCellMar>
            <w:top w:w="0" w:type="dxa"/>
            <w:left w:w="108" w:type="dxa"/>
            <w:bottom w:w="0" w:type="dxa"/>
            <w:right w:w="108" w:type="dxa"/>
          </w:tblCellMar>
        </w:tblPrEx>
        <w:trPr>
          <w:trHeight w:val="360" w:hRule="atLeast"/>
        </w:trPr>
        <w:tc>
          <w:tcPr>
            <w:tcW w:w="0" w:type="auto"/>
            <w:gridSpan w:val="8"/>
            <w:tcBorders>
              <w:top w:val="single" w:color="auto" w:sz="4" w:space="0"/>
              <w:left w:val="single" w:color="auto" w:sz="4" w:space="0"/>
              <w:bottom w:val="single" w:color="auto" w:sz="4" w:space="0"/>
              <w:right w:val="single" w:color="auto" w:sz="4" w:space="0"/>
            </w:tcBorders>
            <w:shd w:val="clear" w:color="auto" w:fill="auto"/>
            <w:noWrap/>
            <w:vAlign w:val="center"/>
          </w:tcPr>
          <w:p w14:paraId="3B483CD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（2023年度）</w:t>
            </w:r>
          </w:p>
        </w:tc>
      </w:tr>
      <w:tr w14:paraId="516312CD">
        <w:tblPrEx>
          <w:tblCellMar>
            <w:top w:w="0" w:type="dxa"/>
            <w:left w:w="108" w:type="dxa"/>
            <w:bottom w:w="0" w:type="dxa"/>
            <w:right w:w="108" w:type="dxa"/>
          </w:tblCellMar>
        </w:tblPrEx>
        <w:trPr>
          <w:trHeight w:val="660" w:hRule="atLeast"/>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14:paraId="51D6BF0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部门（单位）名称</w:t>
            </w:r>
          </w:p>
        </w:tc>
        <w:tc>
          <w:tcPr>
            <w:tcW w:w="0" w:type="auto"/>
            <w:gridSpan w:val="7"/>
            <w:tcBorders>
              <w:top w:val="single" w:color="auto" w:sz="4" w:space="0"/>
              <w:left w:val="nil"/>
              <w:bottom w:val="single" w:color="auto" w:sz="4" w:space="0"/>
              <w:right w:val="single" w:color="auto" w:sz="4" w:space="0"/>
            </w:tcBorders>
            <w:shd w:val="clear" w:color="auto" w:fill="auto"/>
            <w:noWrap/>
            <w:vAlign w:val="center"/>
          </w:tcPr>
          <w:p w14:paraId="366B673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木垒哈萨克自治县准东社会事务管理中心</w:t>
            </w:r>
          </w:p>
        </w:tc>
      </w:tr>
      <w:tr w14:paraId="5FBCCD33">
        <w:tblPrEx>
          <w:tblCellMar>
            <w:top w:w="0" w:type="dxa"/>
            <w:left w:w="108" w:type="dxa"/>
            <w:bottom w:w="0" w:type="dxa"/>
            <w:right w:w="108" w:type="dxa"/>
          </w:tblCellMar>
        </w:tblPrEx>
        <w:trPr>
          <w:trHeight w:val="570" w:hRule="atLeast"/>
        </w:trPr>
        <w:tc>
          <w:tcPr>
            <w:tcW w:w="0" w:type="auto"/>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0D5254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部门资金（万元）</w:t>
            </w:r>
          </w:p>
        </w:tc>
        <w:tc>
          <w:tcPr>
            <w:tcW w:w="0" w:type="auto"/>
            <w:tcBorders>
              <w:top w:val="nil"/>
              <w:left w:val="nil"/>
              <w:bottom w:val="single" w:color="auto" w:sz="4" w:space="0"/>
              <w:right w:val="single" w:color="auto" w:sz="4" w:space="0"/>
            </w:tcBorders>
            <w:shd w:val="clear" w:color="auto" w:fill="auto"/>
            <w:vAlign w:val="center"/>
          </w:tcPr>
          <w:p w14:paraId="6C04EB3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资金来源</w:t>
            </w:r>
          </w:p>
        </w:tc>
        <w:tc>
          <w:tcPr>
            <w:tcW w:w="0" w:type="auto"/>
            <w:tcBorders>
              <w:top w:val="nil"/>
              <w:left w:val="nil"/>
              <w:bottom w:val="single" w:color="auto" w:sz="4" w:space="0"/>
              <w:right w:val="single" w:color="auto" w:sz="4" w:space="0"/>
            </w:tcBorders>
            <w:shd w:val="clear" w:color="auto" w:fill="auto"/>
            <w:vAlign w:val="center"/>
          </w:tcPr>
          <w:p w14:paraId="13C07A9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年初预算数</w:t>
            </w:r>
          </w:p>
        </w:tc>
        <w:tc>
          <w:tcPr>
            <w:tcW w:w="850" w:type="dxa"/>
            <w:tcBorders>
              <w:top w:val="nil"/>
              <w:left w:val="nil"/>
              <w:bottom w:val="single" w:color="auto" w:sz="4" w:space="0"/>
              <w:right w:val="single" w:color="auto" w:sz="4" w:space="0"/>
            </w:tcBorders>
            <w:shd w:val="clear" w:color="auto" w:fill="auto"/>
            <w:vAlign w:val="center"/>
          </w:tcPr>
          <w:p w14:paraId="5A2AE19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全年预算数</w:t>
            </w:r>
          </w:p>
        </w:tc>
        <w:tc>
          <w:tcPr>
            <w:tcW w:w="1037" w:type="dxa"/>
            <w:tcBorders>
              <w:top w:val="nil"/>
              <w:left w:val="nil"/>
              <w:bottom w:val="single" w:color="auto" w:sz="4" w:space="0"/>
              <w:right w:val="single" w:color="auto" w:sz="4" w:space="0"/>
            </w:tcBorders>
            <w:shd w:val="clear" w:color="auto" w:fill="auto"/>
            <w:vAlign w:val="center"/>
          </w:tcPr>
          <w:p w14:paraId="3A1C702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全年执行数</w:t>
            </w:r>
          </w:p>
        </w:tc>
        <w:tc>
          <w:tcPr>
            <w:tcW w:w="0" w:type="auto"/>
            <w:tcBorders>
              <w:top w:val="nil"/>
              <w:left w:val="nil"/>
              <w:bottom w:val="single" w:color="auto" w:sz="4" w:space="0"/>
              <w:right w:val="single" w:color="auto" w:sz="4" w:space="0"/>
            </w:tcBorders>
            <w:shd w:val="clear" w:color="auto" w:fill="auto"/>
            <w:vAlign w:val="center"/>
          </w:tcPr>
          <w:p w14:paraId="7007B1B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分值权重</w:t>
            </w:r>
          </w:p>
        </w:tc>
        <w:tc>
          <w:tcPr>
            <w:tcW w:w="0" w:type="auto"/>
            <w:tcBorders>
              <w:top w:val="nil"/>
              <w:left w:val="nil"/>
              <w:bottom w:val="single" w:color="auto" w:sz="4" w:space="0"/>
              <w:right w:val="single" w:color="auto" w:sz="4" w:space="0"/>
            </w:tcBorders>
            <w:shd w:val="clear" w:color="auto" w:fill="auto"/>
            <w:vAlign w:val="center"/>
          </w:tcPr>
          <w:p w14:paraId="723A2EC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执行率</w:t>
            </w:r>
          </w:p>
        </w:tc>
        <w:tc>
          <w:tcPr>
            <w:tcW w:w="0" w:type="auto"/>
            <w:tcBorders>
              <w:top w:val="nil"/>
              <w:left w:val="nil"/>
              <w:bottom w:val="single" w:color="auto" w:sz="4" w:space="0"/>
              <w:right w:val="single" w:color="auto" w:sz="4" w:space="0"/>
            </w:tcBorders>
            <w:shd w:val="clear" w:color="auto" w:fill="auto"/>
            <w:vAlign w:val="center"/>
          </w:tcPr>
          <w:p w14:paraId="3D22164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得分</w:t>
            </w:r>
          </w:p>
        </w:tc>
      </w:tr>
      <w:tr w14:paraId="61FCD9E9">
        <w:tblPrEx>
          <w:tblCellMar>
            <w:top w:w="0" w:type="dxa"/>
            <w:left w:w="108" w:type="dxa"/>
            <w:bottom w:w="0" w:type="dxa"/>
            <w:right w:w="108" w:type="dxa"/>
          </w:tblCellMar>
        </w:tblPrEx>
        <w:trPr>
          <w:trHeight w:val="88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6918F498">
            <w:pPr>
              <w:widowControl/>
              <w:jc w:val="left"/>
              <w:rPr>
                <w:rFonts w:hint="eastAsia" w:cs="宋体" w:asciiTheme="minorEastAsia" w:hAnsiTheme="minorEastAsia" w:eastAsiaTheme="minorEastAsia"/>
                <w:kern w:val="0"/>
                <w:sz w:val="20"/>
                <w:szCs w:val="20"/>
              </w:rPr>
            </w:pPr>
          </w:p>
        </w:tc>
        <w:tc>
          <w:tcPr>
            <w:tcW w:w="0" w:type="auto"/>
            <w:tcBorders>
              <w:top w:val="nil"/>
              <w:left w:val="nil"/>
              <w:bottom w:val="single" w:color="auto" w:sz="4" w:space="0"/>
              <w:right w:val="single" w:color="auto" w:sz="4" w:space="0"/>
            </w:tcBorders>
            <w:shd w:val="clear" w:color="auto" w:fill="auto"/>
            <w:noWrap/>
            <w:vAlign w:val="center"/>
          </w:tcPr>
          <w:p w14:paraId="7D6C479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中央安排</w:t>
            </w:r>
          </w:p>
        </w:tc>
        <w:tc>
          <w:tcPr>
            <w:tcW w:w="0" w:type="auto"/>
            <w:tcBorders>
              <w:top w:val="nil"/>
              <w:left w:val="nil"/>
              <w:bottom w:val="single" w:color="auto" w:sz="4" w:space="0"/>
              <w:right w:val="single" w:color="auto" w:sz="4" w:space="0"/>
            </w:tcBorders>
            <w:shd w:val="clear" w:color="auto" w:fill="auto"/>
            <w:vAlign w:val="center"/>
          </w:tcPr>
          <w:p w14:paraId="3E03DDB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850" w:type="dxa"/>
            <w:tcBorders>
              <w:top w:val="nil"/>
              <w:left w:val="nil"/>
              <w:bottom w:val="single" w:color="auto" w:sz="4" w:space="0"/>
              <w:right w:val="single" w:color="auto" w:sz="4" w:space="0"/>
            </w:tcBorders>
            <w:shd w:val="clear" w:color="auto" w:fill="auto"/>
            <w:vAlign w:val="center"/>
          </w:tcPr>
          <w:p w14:paraId="355DE8E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037" w:type="dxa"/>
            <w:tcBorders>
              <w:top w:val="nil"/>
              <w:left w:val="nil"/>
              <w:bottom w:val="single" w:color="auto" w:sz="4" w:space="0"/>
              <w:right w:val="single" w:color="auto" w:sz="4" w:space="0"/>
            </w:tcBorders>
            <w:shd w:val="clear" w:color="auto" w:fill="auto"/>
            <w:vAlign w:val="center"/>
          </w:tcPr>
          <w:p w14:paraId="6EBDF3C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0" w:type="auto"/>
            <w:tcBorders>
              <w:top w:val="nil"/>
              <w:left w:val="nil"/>
              <w:bottom w:val="single" w:color="auto" w:sz="4" w:space="0"/>
              <w:right w:val="single" w:color="auto" w:sz="4" w:space="0"/>
            </w:tcBorders>
            <w:shd w:val="clear" w:color="auto" w:fill="auto"/>
            <w:vAlign w:val="center"/>
          </w:tcPr>
          <w:p w14:paraId="083E537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0" w:type="auto"/>
            <w:tcBorders>
              <w:top w:val="nil"/>
              <w:left w:val="nil"/>
              <w:bottom w:val="single" w:color="auto" w:sz="4" w:space="0"/>
              <w:right w:val="single" w:color="auto" w:sz="4" w:space="0"/>
            </w:tcBorders>
            <w:shd w:val="clear" w:color="auto" w:fill="auto"/>
            <w:vAlign w:val="center"/>
          </w:tcPr>
          <w:p w14:paraId="5A15CAC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0" w:type="auto"/>
            <w:tcBorders>
              <w:top w:val="nil"/>
              <w:left w:val="nil"/>
              <w:bottom w:val="single" w:color="auto" w:sz="4" w:space="0"/>
              <w:right w:val="single" w:color="auto" w:sz="4" w:space="0"/>
            </w:tcBorders>
            <w:shd w:val="clear" w:color="auto" w:fill="auto"/>
            <w:vAlign w:val="center"/>
          </w:tcPr>
          <w:p w14:paraId="11115BD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0A3BE828">
        <w:tblPrEx>
          <w:tblCellMar>
            <w:top w:w="0" w:type="dxa"/>
            <w:left w:w="108" w:type="dxa"/>
            <w:bottom w:w="0" w:type="dxa"/>
            <w:right w:w="108" w:type="dxa"/>
          </w:tblCellMar>
        </w:tblPrEx>
        <w:trPr>
          <w:trHeight w:val="88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C40B030">
            <w:pPr>
              <w:widowControl/>
              <w:jc w:val="left"/>
              <w:rPr>
                <w:rFonts w:hint="eastAsia" w:cs="宋体" w:asciiTheme="minorEastAsia" w:hAnsiTheme="minorEastAsia" w:eastAsiaTheme="minorEastAsia"/>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14:paraId="18B3F48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自治区安排</w:t>
            </w:r>
          </w:p>
        </w:tc>
        <w:tc>
          <w:tcPr>
            <w:tcW w:w="0" w:type="auto"/>
            <w:tcBorders>
              <w:top w:val="nil"/>
              <w:left w:val="nil"/>
              <w:bottom w:val="single" w:color="auto" w:sz="4" w:space="0"/>
              <w:right w:val="single" w:color="auto" w:sz="4" w:space="0"/>
            </w:tcBorders>
            <w:shd w:val="clear" w:color="auto" w:fill="auto"/>
            <w:vAlign w:val="center"/>
          </w:tcPr>
          <w:p w14:paraId="4AB8F01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850" w:type="dxa"/>
            <w:tcBorders>
              <w:top w:val="nil"/>
              <w:left w:val="nil"/>
              <w:bottom w:val="single" w:color="auto" w:sz="4" w:space="0"/>
              <w:right w:val="single" w:color="auto" w:sz="4" w:space="0"/>
            </w:tcBorders>
            <w:shd w:val="clear" w:color="auto" w:fill="auto"/>
            <w:vAlign w:val="center"/>
          </w:tcPr>
          <w:p w14:paraId="33E0087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037" w:type="dxa"/>
            <w:tcBorders>
              <w:top w:val="nil"/>
              <w:left w:val="nil"/>
              <w:bottom w:val="single" w:color="auto" w:sz="4" w:space="0"/>
              <w:right w:val="single" w:color="auto" w:sz="4" w:space="0"/>
            </w:tcBorders>
            <w:shd w:val="clear" w:color="auto" w:fill="auto"/>
            <w:vAlign w:val="center"/>
          </w:tcPr>
          <w:p w14:paraId="34B169B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0" w:type="auto"/>
            <w:tcBorders>
              <w:top w:val="nil"/>
              <w:left w:val="nil"/>
              <w:bottom w:val="single" w:color="auto" w:sz="4" w:space="0"/>
              <w:right w:val="single" w:color="auto" w:sz="4" w:space="0"/>
            </w:tcBorders>
            <w:shd w:val="clear" w:color="auto" w:fill="auto"/>
            <w:vAlign w:val="center"/>
          </w:tcPr>
          <w:p w14:paraId="15324D7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0" w:type="auto"/>
            <w:tcBorders>
              <w:top w:val="nil"/>
              <w:left w:val="nil"/>
              <w:bottom w:val="single" w:color="auto" w:sz="4" w:space="0"/>
              <w:right w:val="single" w:color="auto" w:sz="4" w:space="0"/>
            </w:tcBorders>
            <w:shd w:val="clear" w:color="auto" w:fill="auto"/>
            <w:vAlign w:val="center"/>
          </w:tcPr>
          <w:p w14:paraId="45D2342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0" w:type="auto"/>
            <w:tcBorders>
              <w:top w:val="nil"/>
              <w:left w:val="nil"/>
              <w:bottom w:val="single" w:color="auto" w:sz="4" w:space="0"/>
              <w:right w:val="single" w:color="auto" w:sz="4" w:space="0"/>
            </w:tcBorders>
            <w:shd w:val="clear" w:color="auto" w:fill="auto"/>
            <w:vAlign w:val="center"/>
          </w:tcPr>
          <w:p w14:paraId="2C27B44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6BA0D022">
        <w:tblPrEx>
          <w:tblCellMar>
            <w:top w:w="0" w:type="dxa"/>
            <w:left w:w="108" w:type="dxa"/>
            <w:bottom w:w="0" w:type="dxa"/>
            <w:right w:w="108" w:type="dxa"/>
          </w:tblCellMar>
        </w:tblPrEx>
        <w:trPr>
          <w:trHeight w:val="88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745EA46">
            <w:pPr>
              <w:widowControl/>
              <w:jc w:val="left"/>
              <w:rPr>
                <w:rFonts w:hint="eastAsia" w:cs="宋体" w:asciiTheme="minorEastAsia" w:hAnsiTheme="minorEastAsia" w:eastAsiaTheme="minorEastAsia"/>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14:paraId="10394B8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地（州、市）安排</w:t>
            </w:r>
          </w:p>
        </w:tc>
        <w:tc>
          <w:tcPr>
            <w:tcW w:w="0" w:type="auto"/>
            <w:tcBorders>
              <w:top w:val="nil"/>
              <w:left w:val="nil"/>
              <w:bottom w:val="single" w:color="auto" w:sz="4" w:space="0"/>
              <w:right w:val="single" w:color="auto" w:sz="4" w:space="0"/>
            </w:tcBorders>
            <w:shd w:val="clear" w:color="auto" w:fill="auto"/>
            <w:vAlign w:val="center"/>
          </w:tcPr>
          <w:p w14:paraId="0114756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850" w:type="dxa"/>
            <w:tcBorders>
              <w:top w:val="nil"/>
              <w:left w:val="nil"/>
              <w:bottom w:val="single" w:color="auto" w:sz="4" w:space="0"/>
              <w:right w:val="single" w:color="auto" w:sz="4" w:space="0"/>
            </w:tcBorders>
            <w:shd w:val="clear" w:color="auto" w:fill="auto"/>
            <w:vAlign w:val="center"/>
          </w:tcPr>
          <w:p w14:paraId="08E8E31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037" w:type="dxa"/>
            <w:tcBorders>
              <w:top w:val="nil"/>
              <w:left w:val="nil"/>
              <w:bottom w:val="single" w:color="auto" w:sz="4" w:space="0"/>
              <w:right w:val="single" w:color="auto" w:sz="4" w:space="0"/>
            </w:tcBorders>
            <w:shd w:val="clear" w:color="auto" w:fill="auto"/>
            <w:vAlign w:val="center"/>
          </w:tcPr>
          <w:p w14:paraId="695B8CD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0" w:type="auto"/>
            <w:tcBorders>
              <w:top w:val="nil"/>
              <w:left w:val="nil"/>
              <w:bottom w:val="single" w:color="auto" w:sz="4" w:space="0"/>
              <w:right w:val="single" w:color="auto" w:sz="4" w:space="0"/>
            </w:tcBorders>
            <w:shd w:val="clear" w:color="auto" w:fill="auto"/>
            <w:vAlign w:val="center"/>
          </w:tcPr>
          <w:p w14:paraId="78370A0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0" w:type="auto"/>
            <w:tcBorders>
              <w:top w:val="nil"/>
              <w:left w:val="nil"/>
              <w:bottom w:val="single" w:color="auto" w:sz="4" w:space="0"/>
              <w:right w:val="single" w:color="auto" w:sz="4" w:space="0"/>
            </w:tcBorders>
            <w:shd w:val="clear" w:color="auto" w:fill="auto"/>
            <w:vAlign w:val="center"/>
          </w:tcPr>
          <w:p w14:paraId="7287AE1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0" w:type="auto"/>
            <w:tcBorders>
              <w:top w:val="nil"/>
              <w:left w:val="nil"/>
              <w:bottom w:val="single" w:color="auto" w:sz="4" w:space="0"/>
              <w:right w:val="single" w:color="auto" w:sz="4" w:space="0"/>
            </w:tcBorders>
            <w:shd w:val="clear" w:color="auto" w:fill="auto"/>
            <w:vAlign w:val="center"/>
          </w:tcPr>
          <w:p w14:paraId="5A2F822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60C3D203">
        <w:tblPrEx>
          <w:tblCellMar>
            <w:top w:w="0" w:type="dxa"/>
            <w:left w:w="108" w:type="dxa"/>
            <w:bottom w:w="0" w:type="dxa"/>
            <w:right w:w="108" w:type="dxa"/>
          </w:tblCellMar>
        </w:tblPrEx>
        <w:trPr>
          <w:trHeight w:val="88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135D8A83">
            <w:pPr>
              <w:widowControl/>
              <w:jc w:val="left"/>
              <w:rPr>
                <w:rFonts w:hint="eastAsia" w:cs="宋体" w:asciiTheme="minorEastAsia" w:hAnsiTheme="minorEastAsia" w:eastAsiaTheme="minorEastAsia"/>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14:paraId="0697754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县（市、区）安排</w:t>
            </w:r>
          </w:p>
        </w:tc>
        <w:tc>
          <w:tcPr>
            <w:tcW w:w="0" w:type="auto"/>
            <w:tcBorders>
              <w:top w:val="nil"/>
              <w:left w:val="nil"/>
              <w:bottom w:val="single" w:color="auto" w:sz="4" w:space="0"/>
              <w:right w:val="single" w:color="auto" w:sz="4" w:space="0"/>
            </w:tcBorders>
            <w:shd w:val="clear" w:color="auto" w:fill="auto"/>
            <w:vAlign w:val="center"/>
          </w:tcPr>
          <w:p w14:paraId="7B7A9BF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68.24</w:t>
            </w:r>
          </w:p>
        </w:tc>
        <w:tc>
          <w:tcPr>
            <w:tcW w:w="850" w:type="dxa"/>
            <w:tcBorders>
              <w:top w:val="nil"/>
              <w:left w:val="nil"/>
              <w:bottom w:val="single" w:color="auto" w:sz="4" w:space="0"/>
              <w:right w:val="single" w:color="auto" w:sz="4" w:space="0"/>
            </w:tcBorders>
            <w:shd w:val="clear" w:color="auto" w:fill="auto"/>
            <w:vAlign w:val="center"/>
          </w:tcPr>
          <w:p w14:paraId="29BDA8D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87.76</w:t>
            </w:r>
          </w:p>
        </w:tc>
        <w:tc>
          <w:tcPr>
            <w:tcW w:w="1037" w:type="dxa"/>
            <w:tcBorders>
              <w:top w:val="nil"/>
              <w:left w:val="nil"/>
              <w:bottom w:val="single" w:color="auto" w:sz="4" w:space="0"/>
              <w:right w:val="single" w:color="auto" w:sz="4" w:space="0"/>
            </w:tcBorders>
            <w:shd w:val="clear" w:color="auto" w:fill="auto"/>
            <w:vAlign w:val="center"/>
          </w:tcPr>
          <w:p w14:paraId="6C03522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87.76</w:t>
            </w:r>
          </w:p>
        </w:tc>
        <w:tc>
          <w:tcPr>
            <w:tcW w:w="0" w:type="auto"/>
            <w:tcBorders>
              <w:top w:val="nil"/>
              <w:left w:val="nil"/>
              <w:bottom w:val="single" w:color="auto" w:sz="4" w:space="0"/>
              <w:right w:val="single" w:color="auto" w:sz="4" w:space="0"/>
            </w:tcBorders>
            <w:shd w:val="clear" w:color="auto" w:fill="auto"/>
            <w:vAlign w:val="center"/>
          </w:tcPr>
          <w:p w14:paraId="5673099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0" w:type="auto"/>
            <w:tcBorders>
              <w:top w:val="nil"/>
              <w:left w:val="nil"/>
              <w:bottom w:val="single" w:color="auto" w:sz="4" w:space="0"/>
              <w:right w:val="single" w:color="auto" w:sz="4" w:space="0"/>
            </w:tcBorders>
            <w:shd w:val="clear" w:color="auto" w:fill="auto"/>
            <w:vAlign w:val="center"/>
          </w:tcPr>
          <w:p w14:paraId="1643CFE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0" w:type="auto"/>
            <w:tcBorders>
              <w:top w:val="nil"/>
              <w:left w:val="nil"/>
              <w:bottom w:val="single" w:color="auto" w:sz="4" w:space="0"/>
              <w:right w:val="single" w:color="auto" w:sz="4" w:space="0"/>
            </w:tcBorders>
            <w:shd w:val="clear" w:color="auto" w:fill="auto"/>
            <w:vAlign w:val="center"/>
          </w:tcPr>
          <w:p w14:paraId="428AC56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133B3A9C">
        <w:tblPrEx>
          <w:tblCellMar>
            <w:top w:w="0" w:type="dxa"/>
            <w:left w:w="108" w:type="dxa"/>
            <w:bottom w:w="0" w:type="dxa"/>
            <w:right w:w="108" w:type="dxa"/>
          </w:tblCellMar>
        </w:tblPrEx>
        <w:trPr>
          <w:trHeight w:val="88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535CB5E0">
            <w:pPr>
              <w:widowControl/>
              <w:jc w:val="left"/>
              <w:rPr>
                <w:rFonts w:hint="eastAsia" w:cs="宋体" w:asciiTheme="minorEastAsia" w:hAnsiTheme="minorEastAsia" w:eastAsiaTheme="minorEastAsia"/>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14:paraId="26BA24B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其他资金</w:t>
            </w:r>
          </w:p>
        </w:tc>
        <w:tc>
          <w:tcPr>
            <w:tcW w:w="0" w:type="auto"/>
            <w:tcBorders>
              <w:top w:val="nil"/>
              <w:left w:val="nil"/>
              <w:bottom w:val="single" w:color="auto" w:sz="4" w:space="0"/>
              <w:right w:val="single" w:color="auto" w:sz="4" w:space="0"/>
            </w:tcBorders>
            <w:shd w:val="clear" w:color="auto" w:fill="auto"/>
            <w:vAlign w:val="center"/>
          </w:tcPr>
          <w:p w14:paraId="4E1F989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850" w:type="dxa"/>
            <w:tcBorders>
              <w:top w:val="nil"/>
              <w:left w:val="nil"/>
              <w:bottom w:val="single" w:color="auto" w:sz="4" w:space="0"/>
              <w:right w:val="single" w:color="auto" w:sz="4" w:space="0"/>
            </w:tcBorders>
            <w:shd w:val="clear" w:color="auto" w:fill="auto"/>
            <w:vAlign w:val="center"/>
          </w:tcPr>
          <w:p w14:paraId="2D2D81F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037" w:type="dxa"/>
            <w:tcBorders>
              <w:top w:val="nil"/>
              <w:left w:val="nil"/>
              <w:bottom w:val="single" w:color="auto" w:sz="4" w:space="0"/>
              <w:right w:val="single" w:color="auto" w:sz="4" w:space="0"/>
            </w:tcBorders>
            <w:shd w:val="clear" w:color="auto" w:fill="auto"/>
            <w:vAlign w:val="center"/>
          </w:tcPr>
          <w:p w14:paraId="45E0BC6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0" w:type="auto"/>
            <w:tcBorders>
              <w:top w:val="nil"/>
              <w:left w:val="nil"/>
              <w:bottom w:val="single" w:color="auto" w:sz="4" w:space="0"/>
              <w:right w:val="single" w:color="auto" w:sz="4" w:space="0"/>
            </w:tcBorders>
            <w:shd w:val="clear" w:color="auto" w:fill="auto"/>
            <w:vAlign w:val="center"/>
          </w:tcPr>
          <w:p w14:paraId="59A867B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0" w:type="auto"/>
            <w:tcBorders>
              <w:top w:val="nil"/>
              <w:left w:val="nil"/>
              <w:bottom w:val="single" w:color="auto" w:sz="4" w:space="0"/>
              <w:right w:val="single" w:color="auto" w:sz="4" w:space="0"/>
            </w:tcBorders>
            <w:shd w:val="clear" w:color="auto" w:fill="auto"/>
            <w:vAlign w:val="center"/>
          </w:tcPr>
          <w:p w14:paraId="2C9F254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0" w:type="auto"/>
            <w:tcBorders>
              <w:top w:val="nil"/>
              <w:left w:val="nil"/>
              <w:bottom w:val="single" w:color="auto" w:sz="4" w:space="0"/>
              <w:right w:val="single" w:color="auto" w:sz="4" w:space="0"/>
            </w:tcBorders>
            <w:shd w:val="clear" w:color="auto" w:fill="auto"/>
            <w:vAlign w:val="center"/>
          </w:tcPr>
          <w:p w14:paraId="7065FA2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136FBF23">
        <w:tblPrEx>
          <w:tblCellMar>
            <w:top w:w="0" w:type="dxa"/>
            <w:left w:w="108" w:type="dxa"/>
            <w:bottom w:w="0" w:type="dxa"/>
            <w:right w:w="108" w:type="dxa"/>
          </w:tblCellMar>
        </w:tblPrEx>
        <w:trPr>
          <w:trHeight w:val="88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6244373B">
            <w:pPr>
              <w:widowControl/>
              <w:jc w:val="left"/>
              <w:rPr>
                <w:rFonts w:hint="eastAsia" w:cs="宋体" w:asciiTheme="minorEastAsia" w:hAnsiTheme="minorEastAsia" w:eastAsiaTheme="minorEastAsia"/>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14:paraId="6E07B3F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合计</w:t>
            </w:r>
          </w:p>
        </w:tc>
        <w:tc>
          <w:tcPr>
            <w:tcW w:w="0" w:type="auto"/>
            <w:tcBorders>
              <w:top w:val="nil"/>
              <w:left w:val="nil"/>
              <w:bottom w:val="single" w:color="auto" w:sz="4" w:space="0"/>
              <w:right w:val="single" w:color="auto" w:sz="4" w:space="0"/>
            </w:tcBorders>
            <w:shd w:val="clear" w:color="auto" w:fill="auto"/>
            <w:vAlign w:val="center"/>
          </w:tcPr>
          <w:p w14:paraId="3890DDC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68.24</w:t>
            </w:r>
          </w:p>
        </w:tc>
        <w:tc>
          <w:tcPr>
            <w:tcW w:w="850" w:type="dxa"/>
            <w:tcBorders>
              <w:top w:val="nil"/>
              <w:left w:val="nil"/>
              <w:bottom w:val="single" w:color="auto" w:sz="4" w:space="0"/>
              <w:right w:val="single" w:color="auto" w:sz="4" w:space="0"/>
            </w:tcBorders>
            <w:shd w:val="clear" w:color="auto" w:fill="auto"/>
            <w:vAlign w:val="center"/>
          </w:tcPr>
          <w:p w14:paraId="289918A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87.76</w:t>
            </w:r>
          </w:p>
        </w:tc>
        <w:tc>
          <w:tcPr>
            <w:tcW w:w="1037" w:type="dxa"/>
            <w:tcBorders>
              <w:top w:val="nil"/>
              <w:left w:val="nil"/>
              <w:bottom w:val="single" w:color="auto" w:sz="4" w:space="0"/>
              <w:right w:val="single" w:color="auto" w:sz="4" w:space="0"/>
            </w:tcBorders>
            <w:shd w:val="clear" w:color="auto" w:fill="auto"/>
            <w:vAlign w:val="center"/>
          </w:tcPr>
          <w:p w14:paraId="14536DB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87.76</w:t>
            </w:r>
          </w:p>
        </w:tc>
        <w:tc>
          <w:tcPr>
            <w:tcW w:w="0" w:type="auto"/>
            <w:tcBorders>
              <w:top w:val="nil"/>
              <w:left w:val="nil"/>
              <w:bottom w:val="single" w:color="auto" w:sz="4" w:space="0"/>
              <w:right w:val="single" w:color="auto" w:sz="4" w:space="0"/>
            </w:tcBorders>
            <w:shd w:val="clear" w:color="auto" w:fill="auto"/>
            <w:vAlign w:val="center"/>
          </w:tcPr>
          <w:p w14:paraId="5FA52EB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0" w:type="auto"/>
            <w:tcBorders>
              <w:top w:val="nil"/>
              <w:left w:val="nil"/>
              <w:bottom w:val="single" w:color="auto" w:sz="4" w:space="0"/>
              <w:right w:val="single" w:color="auto" w:sz="4" w:space="0"/>
            </w:tcBorders>
            <w:shd w:val="clear" w:color="auto" w:fill="auto"/>
            <w:vAlign w:val="center"/>
          </w:tcPr>
          <w:p w14:paraId="5EFF156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0" w:type="auto"/>
            <w:tcBorders>
              <w:top w:val="nil"/>
              <w:left w:val="nil"/>
              <w:bottom w:val="single" w:color="auto" w:sz="4" w:space="0"/>
              <w:right w:val="single" w:color="auto" w:sz="4" w:space="0"/>
            </w:tcBorders>
            <w:shd w:val="clear" w:color="auto" w:fill="auto"/>
            <w:vAlign w:val="center"/>
          </w:tcPr>
          <w:p w14:paraId="7AE3E25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2B48CFA0">
        <w:tblPrEx>
          <w:tblCellMar>
            <w:top w:w="0" w:type="dxa"/>
            <w:left w:w="108" w:type="dxa"/>
            <w:bottom w:w="0" w:type="dxa"/>
            <w:right w:w="108" w:type="dxa"/>
          </w:tblCellMar>
        </w:tblPrEx>
        <w:trPr>
          <w:trHeight w:val="705" w:hRule="atLeast"/>
        </w:trPr>
        <w:tc>
          <w:tcPr>
            <w:tcW w:w="0" w:type="auto"/>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10461C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年度总体目标</w:t>
            </w:r>
          </w:p>
        </w:tc>
        <w:tc>
          <w:tcPr>
            <w:tcW w:w="3252" w:type="dxa"/>
            <w:gridSpan w:val="3"/>
            <w:tcBorders>
              <w:top w:val="single" w:color="auto" w:sz="4" w:space="0"/>
              <w:left w:val="nil"/>
              <w:bottom w:val="single" w:color="auto" w:sz="4" w:space="0"/>
              <w:right w:val="single" w:color="auto" w:sz="4" w:space="0"/>
            </w:tcBorders>
            <w:shd w:val="clear" w:color="auto" w:fill="auto"/>
            <w:noWrap/>
            <w:vAlign w:val="center"/>
          </w:tcPr>
          <w:p w14:paraId="6027F4B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预期目标</w:t>
            </w:r>
          </w:p>
        </w:tc>
        <w:tc>
          <w:tcPr>
            <w:tcW w:w="3455" w:type="dxa"/>
            <w:gridSpan w:val="4"/>
            <w:tcBorders>
              <w:top w:val="single" w:color="auto" w:sz="4" w:space="0"/>
              <w:left w:val="nil"/>
              <w:bottom w:val="single" w:color="auto" w:sz="4" w:space="0"/>
              <w:right w:val="single" w:color="auto" w:sz="4" w:space="0"/>
            </w:tcBorders>
            <w:shd w:val="clear" w:color="auto" w:fill="auto"/>
            <w:noWrap/>
            <w:vAlign w:val="center"/>
          </w:tcPr>
          <w:p w14:paraId="77E51AF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实际完成情况</w:t>
            </w:r>
          </w:p>
        </w:tc>
      </w:tr>
      <w:tr w14:paraId="395EC482">
        <w:tblPrEx>
          <w:tblCellMar>
            <w:top w:w="0" w:type="dxa"/>
            <w:left w:w="108" w:type="dxa"/>
            <w:bottom w:w="0" w:type="dxa"/>
            <w:right w:w="108" w:type="dxa"/>
          </w:tblCellMar>
        </w:tblPrEx>
        <w:trPr>
          <w:trHeight w:val="200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2351E8B2">
            <w:pPr>
              <w:widowControl/>
              <w:jc w:val="left"/>
              <w:rPr>
                <w:rFonts w:hint="eastAsia" w:cs="宋体" w:asciiTheme="minorEastAsia" w:hAnsiTheme="minorEastAsia" w:eastAsiaTheme="minorEastAsia"/>
                <w:kern w:val="0"/>
                <w:sz w:val="20"/>
                <w:szCs w:val="20"/>
              </w:rPr>
            </w:pPr>
          </w:p>
        </w:tc>
        <w:tc>
          <w:tcPr>
            <w:tcW w:w="3252" w:type="dxa"/>
            <w:gridSpan w:val="3"/>
            <w:tcBorders>
              <w:top w:val="single" w:color="auto" w:sz="4" w:space="0"/>
              <w:left w:val="nil"/>
              <w:bottom w:val="single" w:color="auto" w:sz="4" w:space="0"/>
              <w:right w:val="single" w:color="auto" w:sz="4" w:space="0"/>
            </w:tcBorders>
            <w:shd w:val="clear" w:color="auto" w:fill="auto"/>
            <w:vAlign w:val="center"/>
          </w:tcPr>
          <w:p w14:paraId="1858B7A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目标1：对接项目劳动力转移、农产品推广、旅游推介等项目；</w:t>
            </w:r>
            <w:r>
              <w:rPr>
                <w:rFonts w:hint="eastAsia" w:cs="宋体" w:asciiTheme="minorEastAsia" w:hAnsiTheme="minorEastAsia" w:eastAsiaTheme="minorEastAsia"/>
                <w:kern w:val="0"/>
                <w:sz w:val="20"/>
                <w:szCs w:val="20"/>
              </w:rPr>
              <w:br w:type="textWrapping"/>
            </w:r>
            <w:r>
              <w:rPr>
                <w:rFonts w:hint="eastAsia" w:cs="宋体" w:asciiTheme="minorEastAsia" w:hAnsiTheme="minorEastAsia" w:eastAsiaTheme="minorEastAsia"/>
                <w:kern w:val="0"/>
                <w:sz w:val="20"/>
                <w:szCs w:val="20"/>
              </w:rPr>
              <w:br w:type="textWrapping"/>
            </w:r>
            <w:r>
              <w:rPr>
                <w:rFonts w:hint="eastAsia" w:cs="宋体" w:asciiTheme="minorEastAsia" w:hAnsiTheme="minorEastAsia" w:eastAsiaTheme="minorEastAsia"/>
                <w:kern w:val="0"/>
                <w:sz w:val="20"/>
                <w:szCs w:val="20"/>
              </w:rPr>
              <w:t>目标2：完成县委政府安排的工作，保证单位的运转。</w:t>
            </w:r>
          </w:p>
        </w:tc>
        <w:tc>
          <w:tcPr>
            <w:tcW w:w="3455" w:type="dxa"/>
            <w:gridSpan w:val="4"/>
            <w:tcBorders>
              <w:top w:val="single" w:color="auto" w:sz="4" w:space="0"/>
              <w:left w:val="nil"/>
              <w:bottom w:val="single" w:color="auto" w:sz="4" w:space="0"/>
              <w:right w:val="single" w:color="auto" w:sz="4" w:space="0"/>
            </w:tcBorders>
            <w:shd w:val="clear" w:color="auto" w:fill="auto"/>
            <w:vAlign w:val="center"/>
          </w:tcPr>
          <w:p w14:paraId="1E8A43F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lang w:eastAsia="zh-CN"/>
              </w:rPr>
              <w:t>截至本次</w:t>
            </w:r>
            <w:r>
              <w:rPr>
                <w:rFonts w:hint="eastAsia" w:cs="宋体" w:asciiTheme="minorEastAsia" w:hAnsiTheme="minorEastAsia" w:eastAsiaTheme="minorEastAsia"/>
                <w:kern w:val="0"/>
                <w:sz w:val="20"/>
                <w:szCs w:val="20"/>
              </w:rPr>
              <w:t>自评节点，我单位已完成对接项目劳动力转移、农产品推广、旅游推介等项目，协调企业数量22家，完成全县固定资产投资12</w:t>
            </w:r>
            <w:r>
              <w:rPr>
                <w:rFonts w:hint="eastAsia" w:cs="宋体" w:asciiTheme="minorEastAsia" w:hAnsiTheme="minorEastAsia" w:eastAsiaTheme="minorEastAsia"/>
                <w:kern w:val="0"/>
                <w:sz w:val="20"/>
                <w:szCs w:val="20"/>
                <w:lang w:eastAsia="zh-CN"/>
              </w:rPr>
              <w:t>亿元</w:t>
            </w:r>
            <w:r>
              <w:rPr>
                <w:rFonts w:hint="eastAsia" w:cs="宋体" w:asciiTheme="minorEastAsia" w:hAnsiTheme="minorEastAsia" w:eastAsiaTheme="minorEastAsia"/>
                <w:kern w:val="0"/>
                <w:sz w:val="20"/>
                <w:szCs w:val="20"/>
              </w:rPr>
              <w:t>；完成了县委政府安排的工作，保证了单位的运转。</w:t>
            </w:r>
          </w:p>
        </w:tc>
      </w:tr>
      <w:tr w14:paraId="357E0773">
        <w:tblPrEx>
          <w:tblCellMar>
            <w:top w:w="0" w:type="dxa"/>
            <w:left w:w="108" w:type="dxa"/>
            <w:bottom w:w="0" w:type="dxa"/>
            <w:right w:w="108" w:type="dxa"/>
          </w:tblCellMar>
        </w:tblPrEx>
        <w:trPr>
          <w:trHeight w:val="580" w:hRule="atLeast"/>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3A57E4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一级指标</w:t>
            </w:r>
          </w:p>
        </w:tc>
        <w:tc>
          <w:tcPr>
            <w:tcW w:w="0" w:type="auto"/>
            <w:tcBorders>
              <w:top w:val="nil"/>
              <w:left w:val="nil"/>
              <w:bottom w:val="single" w:color="auto" w:sz="4" w:space="0"/>
              <w:right w:val="single" w:color="auto" w:sz="4" w:space="0"/>
            </w:tcBorders>
            <w:shd w:val="clear" w:color="auto" w:fill="auto"/>
            <w:vAlign w:val="center"/>
          </w:tcPr>
          <w:p w14:paraId="7EEA357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二级指标</w:t>
            </w:r>
          </w:p>
        </w:tc>
        <w:tc>
          <w:tcPr>
            <w:tcW w:w="0" w:type="auto"/>
            <w:tcBorders>
              <w:top w:val="nil"/>
              <w:left w:val="nil"/>
              <w:bottom w:val="single" w:color="auto" w:sz="4" w:space="0"/>
              <w:right w:val="single" w:color="auto" w:sz="4" w:space="0"/>
            </w:tcBorders>
            <w:shd w:val="clear" w:color="auto" w:fill="auto"/>
            <w:vAlign w:val="center"/>
          </w:tcPr>
          <w:p w14:paraId="7A1227F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三级指标</w:t>
            </w:r>
          </w:p>
        </w:tc>
        <w:tc>
          <w:tcPr>
            <w:tcW w:w="850" w:type="dxa"/>
            <w:tcBorders>
              <w:top w:val="nil"/>
              <w:left w:val="nil"/>
              <w:bottom w:val="single" w:color="auto" w:sz="4" w:space="0"/>
              <w:right w:val="single" w:color="auto" w:sz="4" w:space="0"/>
            </w:tcBorders>
            <w:shd w:val="clear" w:color="auto" w:fill="auto"/>
            <w:vAlign w:val="center"/>
          </w:tcPr>
          <w:p w14:paraId="259413D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预期指标值</w:t>
            </w:r>
          </w:p>
        </w:tc>
        <w:tc>
          <w:tcPr>
            <w:tcW w:w="1037" w:type="dxa"/>
            <w:tcBorders>
              <w:top w:val="nil"/>
              <w:left w:val="nil"/>
              <w:bottom w:val="single" w:color="auto" w:sz="4" w:space="0"/>
              <w:right w:val="single" w:color="auto" w:sz="4" w:space="0"/>
            </w:tcBorders>
            <w:shd w:val="clear" w:color="auto" w:fill="auto"/>
            <w:vAlign w:val="center"/>
          </w:tcPr>
          <w:p w14:paraId="3CC8C76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指标值设定依据</w:t>
            </w:r>
          </w:p>
        </w:tc>
        <w:tc>
          <w:tcPr>
            <w:tcW w:w="0" w:type="auto"/>
            <w:tcBorders>
              <w:top w:val="nil"/>
              <w:left w:val="nil"/>
              <w:bottom w:val="single" w:color="auto" w:sz="4" w:space="0"/>
              <w:right w:val="single" w:color="auto" w:sz="4" w:space="0"/>
            </w:tcBorders>
            <w:shd w:val="clear" w:color="auto" w:fill="auto"/>
            <w:vAlign w:val="center"/>
          </w:tcPr>
          <w:p w14:paraId="7D95FCF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分值权重</w:t>
            </w:r>
          </w:p>
        </w:tc>
        <w:tc>
          <w:tcPr>
            <w:tcW w:w="0" w:type="auto"/>
            <w:tcBorders>
              <w:top w:val="nil"/>
              <w:left w:val="nil"/>
              <w:bottom w:val="single" w:color="auto" w:sz="4" w:space="0"/>
              <w:right w:val="single" w:color="auto" w:sz="4" w:space="0"/>
            </w:tcBorders>
            <w:shd w:val="clear" w:color="auto" w:fill="auto"/>
            <w:vAlign w:val="center"/>
          </w:tcPr>
          <w:p w14:paraId="7E16DEC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实际完成指标值</w:t>
            </w:r>
          </w:p>
        </w:tc>
        <w:tc>
          <w:tcPr>
            <w:tcW w:w="0" w:type="auto"/>
            <w:tcBorders>
              <w:top w:val="nil"/>
              <w:left w:val="nil"/>
              <w:bottom w:val="single" w:color="auto" w:sz="4" w:space="0"/>
              <w:right w:val="single" w:color="auto" w:sz="4" w:space="0"/>
            </w:tcBorders>
            <w:shd w:val="clear" w:color="auto" w:fill="auto"/>
            <w:vAlign w:val="center"/>
          </w:tcPr>
          <w:p w14:paraId="4E6C8D8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得分</w:t>
            </w:r>
          </w:p>
        </w:tc>
      </w:tr>
      <w:tr w14:paraId="02191646">
        <w:tblPrEx>
          <w:tblCellMar>
            <w:top w:w="0" w:type="dxa"/>
            <w:left w:w="108" w:type="dxa"/>
            <w:bottom w:w="0" w:type="dxa"/>
            <w:right w:w="108" w:type="dxa"/>
          </w:tblCellMar>
        </w:tblPrEx>
        <w:trPr>
          <w:trHeight w:val="740" w:hRule="atLeast"/>
        </w:trPr>
        <w:tc>
          <w:tcPr>
            <w:tcW w:w="0" w:type="auto"/>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D03F0C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管理效率</w:t>
            </w:r>
          </w:p>
        </w:tc>
        <w:tc>
          <w:tcPr>
            <w:tcW w:w="0" w:type="auto"/>
            <w:vMerge w:val="restart"/>
            <w:tcBorders>
              <w:top w:val="nil"/>
              <w:left w:val="single" w:color="auto" w:sz="4" w:space="0"/>
              <w:bottom w:val="single" w:color="auto" w:sz="4" w:space="0"/>
              <w:right w:val="single" w:color="auto" w:sz="4" w:space="0"/>
            </w:tcBorders>
            <w:shd w:val="clear" w:color="auto" w:fill="auto"/>
            <w:vAlign w:val="center"/>
          </w:tcPr>
          <w:p w14:paraId="6B3824C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xml:space="preserve">数量指标 </w:t>
            </w:r>
          </w:p>
        </w:tc>
        <w:tc>
          <w:tcPr>
            <w:tcW w:w="0" w:type="auto"/>
            <w:tcBorders>
              <w:top w:val="nil"/>
              <w:left w:val="nil"/>
              <w:bottom w:val="single" w:color="auto" w:sz="4" w:space="0"/>
              <w:right w:val="single" w:color="auto" w:sz="4" w:space="0"/>
            </w:tcBorders>
            <w:shd w:val="clear" w:color="auto" w:fill="auto"/>
            <w:vAlign w:val="center"/>
          </w:tcPr>
          <w:p w14:paraId="63E7F27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协调企业数量</w:t>
            </w:r>
          </w:p>
        </w:tc>
        <w:tc>
          <w:tcPr>
            <w:tcW w:w="850" w:type="dxa"/>
            <w:tcBorders>
              <w:top w:val="nil"/>
              <w:left w:val="nil"/>
              <w:bottom w:val="single" w:color="auto" w:sz="4" w:space="0"/>
              <w:right w:val="single" w:color="auto" w:sz="4" w:space="0"/>
            </w:tcBorders>
            <w:shd w:val="clear" w:color="auto" w:fill="auto"/>
            <w:vAlign w:val="center"/>
          </w:tcPr>
          <w:p w14:paraId="544E5331">
            <w:pPr>
              <w:widowControl/>
              <w:jc w:val="center"/>
              <w:rPr>
                <w:rFonts w:hint="eastAsia" w:cs="宋体" w:asciiTheme="minorEastAsia" w:hAnsiTheme="minorEastAsia" w:eastAsiaTheme="minorEastAsia"/>
                <w:kern w:val="0"/>
                <w:sz w:val="20"/>
                <w:szCs w:val="20"/>
              </w:rPr>
            </w:pPr>
            <w:bookmarkStart w:id="48" w:name="_GoBack"/>
            <w:r>
              <w:rPr>
                <w:rFonts w:hint="eastAsia" w:cs="宋体" w:asciiTheme="minorEastAsia" w:hAnsiTheme="minorEastAsia" w:eastAsiaTheme="minorEastAsia"/>
                <w:kern w:val="0"/>
                <w:sz w:val="20"/>
                <w:szCs w:val="20"/>
              </w:rPr>
              <w:t>&gt;</w:t>
            </w:r>
            <w:bookmarkEnd w:id="48"/>
            <w:r>
              <w:rPr>
                <w:rFonts w:hint="eastAsia" w:cs="宋体" w:asciiTheme="minorEastAsia" w:hAnsiTheme="minorEastAsia" w:eastAsiaTheme="minorEastAsia"/>
                <w:kern w:val="0"/>
                <w:sz w:val="20"/>
                <w:szCs w:val="20"/>
              </w:rPr>
              <w:t>=22家</w:t>
            </w:r>
          </w:p>
        </w:tc>
        <w:tc>
          <w:tcPr>
            <w:tcW w:w="1037" w:type="dxa"/>
            <w:tcBorders>
              <w:top w:val="nil"/>
              <w:left w:val="nil"/>
              <w:bottom w:val="single" w:color="auto" w:sz="4" w:space="0"/>
              <w:right w:val="single" w:color="auto" w:sz="4" w:space="0"/>
            </w:tcBorders>
            <w:shd w:val="clear" w:color="auto" w:fill="auto"/>
            <w:vAlign w:val="center"/>
          </w:tcPr>
          <w:p w14:paraId="5BDA57F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木垒哈萨克自治县准东社会事务管理中心2023年工作计划</w:t>
            </w:r>
          </w:p>
        </w:tc>
        <w:tc>
          <w:tcPr>
            <w:tcW w:w="0" w:type="auto"/>
            <w:tcBorders>
              <w:top w:val="nil"/>
              <w:left w:val="nil"/>
              <w:bottom w:val="single" w:color="auto" w:sz="4" w:space="0"/>
              <w:right w:val="single" w:color="auto" w:sz="4" w:space="0"/>
            </w:tcBorders>
            <w:shd w:val="clear" w:color="auto" w:fill="auto"/>
            <w:vAlign w:val="center"/>
          </w:tcPr>
          <w:p w14:paraId="626D7E6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c>
          <w:tcPr>
            <w:tcW w:w="0" w:type="auto"/>
            <w:tcBorders>
              <w:top w:val="nil"/>
              <w:left w:val="nil"/>
              <w:bottom w:val="single" w:color="auto" w:sz="4" w:space="0"/>
              <w:right w:val="single" w:color="auto" w:sz="4" w:space="0"/>
            </w:tcBorders>
            <w:shd w:val="clear" w:color="auto" w:fill="auto"/>
            <w:vAlign w:val="center"/>
          </w:tcPr>
          <w:p w14:paraId="1D9780A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=22家</w:t>
            </w:r>
          </w:p>
        </w:tc>
        <w:tc>
          <w:tcPr>
            <w:tcW w:w="0" w:type="auto"/>
            <w:tcBorders>
              <w:top w:val="nil"/>
              <w:left w:val="nil"/>
              <w:bottom w:val="single" w:color="auto" w:sz="4" w:space="0"/>
              <w:right w:val="single" w:color="auto" w:sz="4" w:space="0"/>
            </w:tcBorders>
            <w:shd w:val="clear" w:color="auto" w:fill="auto"/>
            <w:vAlign w:val="center"/>
          </w:tcPr>
          <w:p w14:paraId="582E44F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r>
      <w:tr w14:paraId="65D70609">
        <w:tblPrEx>
          <w:tblCellMar>
            <w:top w:w="0" w:type="dxa"/>
            <w:left w:w="108" w:type="dxa"/>
            <w:bottom w:w="0" w:type="dxa"/>
            <w:right w:w="108" w:type="dxa"/>
          </w:tblCellMar>
        </w:tblPrEx>
        <w:trPr>
          <w:trHeight w:val="74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17781AAD">
            <w:pPr>
              <w:widowControl/>
              <w:jc w:val="left"/>
              <w:rPr>
                <w:rFonts w:hint="eastAsia" w:cs="宋体" w:asciiTheme="minorEastAsia" w:hAnsiTheme="minorEastAsia" w:eastAsiaTheme="minorEastAsia"/>
                <w:kern w:val="0"/>
                <w:sz w:val="20"/>
                <w:szCs w:val="20"/>
              </w:rPr>
            </w:pPr>
          </w:p>
        </w:tc>
        <w:tc>
          <w:tcPr>
            <w:tcW w:w="0" w:type="auto"/>
            <w:vMerge w:val="continue"/>
            <w:tcBorders>
              <w:top w:val="nil"/>
              <w:left w:val="single" w:color="auto" w:sz="4" w:space="0"/>
              <w:bottom w:val="single" w:color="auto" w:sz="4" w:space="0"/>
              <w:right w:val="single" w:color="auto" w:sz="4" w:space="0"/>
            </w:tcBorders>
            <w:vAlign w:val="center"/>
          </w:tcPr>
          <w:p w14:paraId="75A42EDF">
            <w:pPr>
              <w:widowControl/>
              <w:jc w:val="left"/>
              <w:rPr>
                <w:rFonts w:hint="eastAsia" w:cs="宋体" w:asciiTheme="minorEastAsia" w:hAnsiTheme="minorEastAsia" w:eastAsiaTheme="minorEastAsia"/>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14:paraId="36A7118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完成全县固定资产投资</w:t>
            </w:r>
          </w:p>
        </w:tc>
        <w:tc>
          <w:tcPr>
            <w:tcW w:w="850" w:type="dxa"/>
            <w:tcBorders>
              <w:top w:val="nil"/>
              <w:left w:val="nil"/>
              <w:bottom w:val="single" w:color="auto" w:sz="4" w:space="0"/>
              <w:right w:val="single" w:color="auto" w:sz="4" w:space="0"/>
            </w:tcBorders>
            <w:shd w:val="clear" w:color="auto" w:fill="auto"/>
            <w:vAlign w:val="center"/>
          </w:tcPr>
          <w:p w14:paraId="425947D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&gt;=12万元</w:t>
            </w:r>
          </w:p>
        </w:tc>
        <w:tc>
          <w:tcPr>
            <w:tcW w:w="1037" w:type="dxa"/>
            <w:tcBorders>
              <w:top w:val="nil"/>
              <w:left w:val="nil"/>
              <w:bottom w:val="single" w:color="auto" w:sz="4" w:space="0"/>
              <w:right w:val="single" w:color="auto" w:sz="4" w:space="0"/>
            </w:tcBorders>
            <w:shd w:val="clear" w:color="auto" w:fill="auto"/>
            <w:vAlign w:val="center"/>
          </w:tcPr>
          <w:p w14:paraId="762588A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木垒哈萨克自治县准东社会事务管理中心2023年工作计划</w:t>
            </w:r>
          </w:p>
        </w:tc>
        <w:tc>
          <w:tcPr>
            <w:tcW w:w="0" w:type="auto"/>
            <w:tcBorders>
              <w:top w:val="nil"/>
              <w:left w:val="nil"/>
              <w:bottom w:val="single" w:color="auto" w:sz="4" w:space="0"/>
              <w:right w:val="single" w:color="auto" w:sz="4" w:space="0"/>
            </w:tcBorders>
            <w:shd w:val="clear" w:color="auto" w:fill="auto"/>
            <w:vAlign w:val="center"/>
          </w:tcPr>
          <w:p w14:paraId="18F8331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0" w:type="auto"/>
            <w:tcBorders>
              <w:top w:val="nil"/>
              <w:left w:val="nil"/>
              <w:bottom w:val="single" w:color="auto" w:sz="4" w:space="0"/>
              <w:right w:val="single" w:color="auto" w:sz="4" w:space="0"/>
            </w:tcBorders>
            <w:shd w:val="clear" w:color="auto" w:fill="auto"/>
            <w:vAlign w:val="center"/>
          </w:tcPr>
          <w:p w14:paraId="04CC59F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12万元</w:t>
            </w:r>
          </w:p>
        </w:tc>
        <w:tc>
          <w:tcPr>
            <w:tcW w:w="0" w:type="auto"/>
            <w:tcBorders>
              <w:top w:val="nil"/>
              <w:left w:val="nil"/>
              <w:bottom w:val="single" w:color="auto" w:sz="4" w:space="0"/>
              <w:right w:val="single" w:color="auto" w:sz="4" w:space="0"/>
            </w:tcBorders>
            <w:shd w:val="clear" w:color="auto" w:fill="auto"/>
            <w:vAlign w:val="center"/>
          </w:tcPr>
          <w:p w14:paraId="2EA4081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6BF27C3C">
        <w:tblPrEx>
          <w:tblCellMar>
            <w:top w:w="0" w:type="dxa"/>
            <w:left w:w="108" w:type="dxa"/>
            <w:bottom w:w="0" w:type="dxa"/>
            <w:right w:w="108" w:type="dxa"/>
          </w:tblCellMar>
        </w:tblPrEx>
        <w:trPr>
          <w:trHeight w:val="740" w:hRule="atLeast"/>
        </w:trPr>
        <w:tc>
          <w:tcPr>
            <w:tcW w:w="0" w:type="auto"/>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50F838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履职效能</w:t>
            </w:r>
          </w:p>
        </w:tc>
        <w:tc>
          <w:tcPr>
            <w:tcW w:w="0" w:type="auto"/>
            <w:vMerge w:val="restart"/>
            <w:tcBorders>
              <w:top w:val="nil"/>
              <w:left w:val="single" w:color="auto" w:sz="4" w:space="0"/>
              <w:bottom w:val="single" w:color="auto" w:sz="4" w:space="0"/>
              <w:right w:val="single" w:color="auto" w:sz="4" w:space="0"/>
            </w:tcBorders>
            <w:shd w:val="clear" w:color="auto" w:fill="auto"/>
            <w:vAlign w:val="center"/>
          </w:tcPr>
          <w:p w14:paraId="3F34A57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xml:space="preserve">质量指标 </w:t>
            </w:r>
          </w:p>
        </w:tc>
        <w:tc>
          <w:tcPr>
            <w:tcW w:w="0" w:type="auto"/>
            <w:tcBorders>
              <w:top w:val="nil"/>
              <w:left w:val="nil"/>
              <w:bottom w:val="single" w:color="auto" w:sz="4" w:space="0"/>
              <w:right w:val="single" w:color="auto" w:sz="4" w:space="0"/>
            </w:tcBorders>
            <w:shd w:val="clear" w:color="auto" w:fill="auto"/>
            <w:vAlign w:val="center"/>
          </w:tcPr>
          <w:p w14:paraId="61BD53A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业务协调率</w:t>
            </w:r>
          </w:p>
        </w:tc>
        <w:tc>
          <w:tcPr>
            <w:tcW w:w="850" w:type="dxa"/>
            <w:tcBorders>
              <w:top w:val="nil"/>
              <w:left w:val="nil"/>
              <w:bottom w:val="single" w:color="auto" w:sz="4" w:space="0"/>
              <w:right w:val="single" w:color="auto" w:sz="4" w:space="0"/>
            </w:tcBorders>
            <w:shd w:val="clear" w:color="auto" w:fill="auto"/>
            <w:vAlign w:val="center"/>
          </w:tcPr>
          <w:p w14:paraId="373FCE3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1037" w:type="dxa"/>
            <w:tcBorders>
              <w:top w:val="nil"/>
              <w:left w:val="nil"/>
              <w:bottom w:val="single" w:color="auto" w:sz="4" w:space="0"/>
              <w:right w:val="single" w:color="auto" w:sz="4" w:space="0"/>
            </w:tcBorders>
            <w:shd w:val="clear" w:color="auto" w:fill="auto"/>
            <w:vAlign w:val="center"/>
          </w:tcPr>
          <w:p w14:paraId="25D700E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木垒哈萨克自治县准东社会事务管理中心2023年工作计划</w:t>
            </w:r>
          </w:p>
        </w:tc>
        <w:tc>
          <w:tcPr>
            <w:tcW w:w="0" w:type="auto"/>
            <w:tcBorders>
              <w:top w:val="nil"/>
              <w:left w:val="nil"/>
              <w:bottom w:val="single" w:color="auto" w:sz="4" w:space="0"/>
              <w:right w:val="single" w:color="auto" w:sz="4" w:space="0"/>
            </w:tcBorders>
            <w:shd w:val="clear" w:color="auto" w:fill="auto"/>
            <w:vAlign w:val="center"/>
          </w:tcPr>
          <w:p w14:paraId="444B61F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0" w:type="auto"/>
            <w:tcBorders>
              <w:top w:val="nil"/>
              <w:left w:val="nil"/>
              <w:bottom w:val="single" w:color="auto" w:sz="4" w:space="0"/>
              <w:right w:val="single" w:color="auto" w:sz="4" w:space="0"/>
            </w:tcBorders>
            <w:shd w:val="clear" w:color="auto" w:fill="auto"/>
            <w:vAlign w:val="center"/>
          </w:tcPr>
          <w:p w14:paraId="1AFACAE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0" w:type="auto"/>
            <w:tcBorders>
              <w:top w:val="nil"/>
              <w:left w:val="nil"/>
              <w:bottom w:val="single" w:color="auto" w:sz="4" w:space="0"/>
              <w:right w:val="single" w:color="auto" w:sz="4" w:space="0"/>
            </w:tcBorders>
            <w:shd w:val="clear" w:color="auto" w:fill="auto"/>
            <w:vAlign w:val="center"/>
          </w:tcPr>
          <w:p w14:paraId="2245D46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5508B8E8">
        <w:tblPrEx>
          <w:tblCellMar>
            <w:top w:w="0" w:type="dxa"/>
            <w:left w:w="108" w:type="dxa"/>
            <w:bottom w:w="0" w:type="dxa"/>
            <w:right w:w="108" w:type="dxa"/>
          </w:tblCellMar>
        </w:tblPrEx>
        <w:trPr>
          <w:trHeight w:val="74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5094FD8F">
            <w:pPr>
              <w:widowControl/>
              <w:jc w:val="left"/>
              <w:rPr>
                <w:rFonts w:hint="eastAsia" w:cs="宋体" w:asciiTheme="minorEastAsia" w:hAnsiTheme="minorEastAsia" w:eastAsiaTheme="minorEastAsia"/>
                <w:kern w:val="0"/>
                <w:sz w:val="20"/>
                <w:szCs w:val="20"/>
              </w:rPr>
            </w:pPr>
          </w:p>
        </w:tc>
        <w:tc>
          <w:tcPr>
            <w:tcW w:w="0" w:type="auto"/>
            <w:vMerge w:val="continue"/>
            <w:tcBorders>
              <w:top w:val="nil"/>
              <w:left w:val="single" w:color="auto" w:sz="4" w:space="0"/>
              <w:bottom w:val="single" w:color="auto" w:sz="4" w:space="0"/>
              <w:right w:val="single" w:color="auto" w:sz="4" w:space="0"/>
            </w:tcBorders>
            <w:vAlign w:val="center"/>
          </w:tcPr>
          <w:p w14:paraId="7ED04936">
            <w:pPr>
              <w:widowControl/>
              <w:jc w:val="left"/>
              <w:rPr>
                <w:rFonts w:hint="eastAsia" w:cs="宋体" w:asciiTheme="minorEastAsia" w:hAnsiTheme="minorEastAsia" w:eastAsiaTheme="minorEastAsia"/>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14:paraId="17959CE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协调答复率</w:t>
            </w:r>
          </w:p>
        </w:tc>
        <w:tc>
          <w:tcPr>
            <w:tcW w:w="850" w:type="dxa"/>
            <w:tcBorders>
              <w:top w:val="nil"/>
              <w:left w:val="nil"/>
              <w:bottom w:val="single" w:color="auto" w:sz="4" w:space="0"/>
              <w:right w:val="single" w:color="auto" w:sz="4" w:space="0"/>
            </w:tcBorders>
            <w:shd w:val="clear" w:color="auto" w:fill="auto"/>
            <w:vAlign w:val="center"/>
          </w:tcPr>
          <w:p w14:paraId="61B0D5D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1037" w:type="dxa"/>
            <w:tcBorders>
              <w:top w:val="nil"/>
              <w:left w:val="nil"/>
              <w:bottom w:val="single" w:color="auto" w:sz="4" w:space="0"/>
              <w:right w:val="single" w:color="auto" w:sz="4" w:space="0"/>
            </w:tcBorders>
            <w:shd w:val="clear" w:color="auto" w:fill="auto"/>
            <w:vAlign w:val="center"/>
          </w:tcPr>
          <w:p w14:paraId="580821A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木垒哈萨克自治县准东社会事务管理中心2023年工作计划</w:t>
            </w:r>
          </w:p>
        </w:tc>
        <w:tc>
          <w:tcPr>
            <w:tcW w:w="0" w:type="auto"/>
            <w:tcBorders>
              <w:top w:val="nil"/>
              <w:left w:val="nil"/>
              <w:bottom w:val="single" w:color="auto" w:sz="4" w:space="0"/>
              <w:right w:val="single" w:color="auto" w:sz="4" w:space="0"/>
            </w:tcBorders>
            <w:shd w:val="clear" w:color="auto" w:fill="auto"/>
            <w:vAlign w:val="center"/>
          </w:tcPr>
          <w:p w14:paraId="4AFFABE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c>
          <w:tcPr>
            <w:tcW w:w="0" w:type="auto"/>
            <w:tcBorders>
              <w:top w:val="nil"/>
              <w:left w:val="nil"/>
              <w:bottom w:val="single" w:color="auto" w:sz="4" w:space="0"/>
              <w:right w:val="single" w:color="auto" w:sz="4" w:space="0"/>
            </w:tcBorders>
            <w:shd w:val="clear" w:color="auto" w:fill="auto"/>
            <w:vAlign w:val="center"/>
          </w:tcPr>
          <w:p w14:paraId="4D72AB8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0" w:type="auto"/>
            <w:tcBorders>
              <w:top w:val="nil"/>
              <w:left w:val="nil"/>
              <w:bottom w:val="single" w:color="auto" w:sz="4" w:space="0"/>
              <w:right w:val="single" w:color="auto" w:sz="4" w:space="0"/>
            </w:tcBorders>
            <w:shd w:val="clear" w:color="auto" w:fill="auto"/>
            <w:vAlign w:val="center"/>
          </w:tcPr>
          <w:p w14:paraId="432A9E5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r>
      <w:tr w14:paraId="26BD707A">
        <w:tblPrEx>
          <w:tblCellMar>
            <w:top w:w="0" w:type="dxa"/>
            <w:left w:w="108" w:type="dxa"/>
            <w:bottom w:w="0" w:type="dxa"/>
            <w:right w:w="108" w:type="dxa"/>
          </w:tblCellMar>
        </w:tblPrEx>
        <w:trPr>
          <w:trHeight w:val="74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4AAA858E">
            <w:pPr>
              <w:widowControl/>
              <w:jc w:val="left"/>
              <w:rPr>
                <w:rFonts w:hint="eastAsia" w:cs="宋体" w:asciiTheme="minorEastAsia" w:hAnsiTheme="minorEastAsia" w:eastAsiaTheme="minorEastAsia"/>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14:paraId="0AD27A4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xml:space="preserve">数量指标 </w:t>
            </w:r>
          </w:p>
        </w:tc>
        <w:tc>
          <w:tcPr>
            <w:tcW w:w="0" w:type="auto"/>
            <w:tcBorders>
              <w:top w:val="nil"/>
              <w:left w:val="nil"/>
              <w:bottom w:val="single" w:color="auto" w:sz="4" w:space="0"/>
              <w:right w:val="single" w:color="auto" w:sz="4" w:space="0"/>
            </w:tcBorders>
            <w:shd w:val="clear" w:color="auto" w:fill="auto"/>
            <w:vAlign w:val="center"/>
          </w:tcPr>
          <w:p w14:paraId="47AA63B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带动当地就业人数</w:t>
            </w:r>
          </w:p>
        </w:tc>
        <w:tc>
          <w:tcPr>
            <w:tcW w:w="850" w:type="dxa"/>
            <w:tcBorders>
              <w:top w:val="nil"/>
              <w:left w:val="nil"/>
              <w:bottom w:val="single" w:color="auto" w:sz="4" w:space="0"/>
              <w:right w:val="single" w:color="auto" w:sz="4" w:space="0"/>
            </w:tcBorders>
            <w:shd w:val="clear" w:color="auto" w:fill="auto"/>
            <w:vAlign w:val="center"/>
          </w:tcPr>
          <w:p w14:paraId="6EBF4BF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&gt;=300人</w:t>
            </w:r>
          </w:p>
        </w:tc>
        <w:tc>
          <w:tcPr>
            <w:tcW w:w="1037" w:type="dxa"/>
            <w:tcBorders>
              <w:top w:val="nil"/>
              <w:left w:val="nil"/>
              <w:bottom w:val="single" w:color="auto" w:sz="4" w:space="0"/>
              <w:right w:val="single" w:color="auto" w:sz="4" w:space="0"/>
            </w:tcBorders>
            <w:shd w:val="clear" w:color="auto" w:fill="auto"/>
            <w:vAlign w:val="center"/>
          </w:tcPr>
          <w:p w14:paraId="3BD2850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木垒哈萨克自治县准东社会事务管理中心2023年工作计划</w:t>
            </w:r>
          </w:p>
        </w:tc>
        <w:tc>
          <w:tcPr>
            <w:tcW w:w="0" w:type="auto"/>
            <w:tcBorders>
              <w:top w:val="nil"/>
              <w:left w:val="nil"/>
              <w:bottom w:val="single" w:color="auto" w:sz="4" w:space="0"/>
              <w:right w:val="single" w:color="auto" w:sz="4" w:space="0"/>
            </w:tcBorders>
            <w:shd w:val="clear" w:color="auto" w:fill="auto"/>
            <w:vAlign w:val="center"/>
          </w:tcPr>
          <w:p w14:paraId="1645EA8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c>
          <w:tcPr>
            <w:tcW w:w="0" w:type="auto"/>
            <w:tcBorders>
              <w:top w:val="nil"/>
              <w:left w:val="nil"/>
              <w:bottom w:val="single" w:color="auto" w:sz="4" w:space="0"/>
              <w:right w:val="single" w:color="auto" w:sz="4" w:space="0"/>
            </w:tcBorders>
            <w:shd w:val="clear" w:color="auto" w:fill="auto"/>
            <w:vAlign w:val="center"/>
          </w:tcPr>
          <w:p w14:paraId="134240F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=300人</w:t>
            </w:r>
          </w:p>
        </w:tc>
        <w:tc>
          <w:tcPr>
            <w:tcW w:w="0" w:type="auto"/>
            <w:tcBorders>
              <w:top w:val="nil"/>
              <w:left w:val="nil"/>
              <w:bottom w:val="single" w:color="auto" w:sz="4" w:space="0"/>
              <w:right w:val="single" w:color="auto" w:sz="4" w:space="0"/>
            </w:tcBorders>
            <w:shd w:val="clear" w:color="auto" w:fill="auto"/>
            <w:vAlign w:val="center"/>
          </w:tcPr>
          <w:p w14:paraId="6FC2FEF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r>
      <w:tr w14:paraId="0F9C4317">
        <w:tblPrEx>
          <w:tblCellMar>
            <w:top w:w="0" w:type="dxa"/>
            <w:left w:w="108" w:type="dxa"/>
            <w:bottom w:w="0" w:type="dxa"/>
            <w:right w:w="108" w:type="dxa"/>
          </w:tblCellMar>
        </w:tblPrEx>
        <w:trPr>
          <w:trHeight w:val="74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4C90CB44">
            <w:pPr>
              <w:widowControl/>
              <w:jc w:val="left"/>
              <w:rPr>
                <w:rFonts w:hint="eastAsia" w:cs="宋体" w:asciiTheme="minorEastAsia" w:hAnsiTheme="minorEastAsia" w:eastAsiaTheme="minorEastAsia"/>
                <w:kern w:val="0"/>
                <w:sz w:val="20"/>
                <w:szCs w:val="20"/>
              </w:rPr>
            </w:pPr>
          </w:p>
        </w:tc>
        <w:tc>
          <w:tcPr>
            <w:tcW w:w="0" w:type="auto"/>
            <w:vMerge w:val="restart"/>
            <w:tcBorders>
              <w:top w:val="nil"/>
              <w:left w:val="single" w:color="auto" w:sz="4" w:space="0"/>
              <w:bottom w:val="single" w:color="auto" w:sz="4" w:space="0"/>
              <w:right w:val="single" w:color="auto" w:sz="4" w:space="0"/>
            </w:tcBorders>
            <w:shd w:val="clear" w:color="auto" w:fill="auto"/>
            <w:vAlign w:val="center"/>
          </w:tcPr>
          <w:p w14:paraId="69D2CC7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xml:space="preserve">质量指标 </w:t>
            </w:r>
          </w:p>
        </w:tc>
        <w:tc>
          <w:tcPr>
            <w:tcW w:w="0" w:type="auto"/>
            <w:tcBorders>
              <w:top w:val="nil"/>
              <w:left w:val="nil"/>
              <w:bottom w:val="single" w:color="auto" w:sz="4" w:space="0"/>
              <w:right w:val="single" w:color="auto" w:sz="4" w:space="0"/>
            </w:tcBorders>
            <w:shd w:val="clear" w:color="auto" w:fill="auto"/>
            <w:vAlign w:val="center"/>
          </w:tcPr>
          <w:p w14:paraId="56FAC62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企业协调提升率</w:t>
            </w:r>
          </w:p>
        </w:tc>
        <w:tc>
          <w:tcPr>
            <w:tcW w:w="850" w:type="dxa"/>
            <w:tcBorders>
              <w:top w:val="nil"/>
              <w:left w:val="nil"/>
              <w:bottom w:val="single" w:color="auto" w:sz="4" w:space="0"/>
              <w:right w:val="single" w:color="auto" w:sz="4" w:space="0"/>
            </w:tcBorders>
            <w:shd w:val="clear" w:color="auto" w:fill="auto"/>
            <w:vAlign w:val="center"/>
          </w:tcPr>
          <w:p w14:paraId="6D8F8BB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&gt;=95%</w:t>
            </w:r>
          </w:p>
        </w:tc>
        <w:tc>
          <w:tcPr>
            <w:tcW w:w="1037" w:type="dxa"/>
            <w:tcBorders>
              <w:top w:val="nil"/>
              <w:left w:val="nil"/>
              <w:bottom w:val="single" w:color="auto" w:sz="4" w:space="0"/>
              <w:right w:val="single" w:color="auto" w:sz="4" w:space="0"/>
            </w:tcBorders>
            <w:shd w:val="clear" w:color="auto" w:fill="auto"/>
            <w:vAlign w:val="center"/>
          </w:tcPr>
          <w:p w14:paraId="36F0FB3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木垒哈萨克自治县准东社会事务管理中心2023年工作计划</w:t>
            </w:r>
          </w:p>
        </w:tc>
        <w:tc>
          <w:tcPr>
            <w:tcW w:w="0" w:type="auto"/>
            <w:tcBorders>
              <w:top w:val="nil"/>
              <w:left w:val="nil"/>
              <w:bottom w:val="single" w:color="auto" w:sz="4" w:space="0"/>
              <w:right w:val="single" w:color="auto" w:sz="4" w:space="0"/>
            </w:tcBorders>
            <w:shd w:val="clear" w:color="auto" w:fill="auto"/>
            <w:vAlign w:val="center"/>
          </w:tcPr>
          <w:p w14:paraId="55E295A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0" w:type="auto"/>
            <w:tcBorders>
              <w:top w:val="nil"/>
              <w:left w:val="nil"/>
              <w:bottom w:val="single" w:color="auto" w:sz="4" w:space="0"/>
              <w:right w:val="single" w:color="auto" w:sz="4" w:space="0"/>
            </w:tcBorders>
            <w:shd w:val="clear" w:color="auto" w:fill="auto"/>
            <w:vAlign w:val="center"/>
          </w:tcPr>
          <w:p w14:paraId="7093AFE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=95%</w:t>
            </w:r>
          </w:p>
        </w:tc>
        <w:tc>
          <w:tcPr>
            <w:tcW w:w="0" w:type="auto"/>
            <w:tcBorders>
              <w:top w:val="nil"/>
              <w:left w:val="nil"/>
              <w:bottom w:val="single" w:color="auto" w:sz="4" w:space="0"/>
              <w:right w:val="single" w:color="auto" w:sz="4" w:space="0"/>
            </w:tcBorders>
            <w:shd w:val="clear" w:color="auto" w:fill="auto"/>
            <w:vAlign w:val="center"/>
          </w:tcPr>
          <w:p w14:paraId="6CD056B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0E0DEB62">
        <w:tblPrEx>
          <w:tblCellMar>
            <w:top w:w="0" w:type="dxa"/>
            <w:left w:w="108" w:type="dxa"/>
            <w:bottom w:w="0" w:type="dxa"/>
            <w:right w:w="108" w:type="dxa"/>
          </w:tblCellMar>
        </w:tblPrEx>
        <w:trPr>
          <w:trHeight w:val="740" w:hRule="atLeast"/>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CB0A73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服务对象满意度</w:t>
            </w:r>
          </w:p>
        </w:tc>
        <w:tc>
          <w:tcPr>
            <w:tcW w:w="0" w:type="auto"/>
            <w:vMerge w:val="continue"/>
            <w:tcBorders>
              <w:top w:val="nil"/>
              <w:left w:val="single" w:color="auto" w:sz="4" w:space="0"/>
              <w:bottom w:val="single" w:color="auto" w:sz="4" w:space="0"/>
              <w:right w:val="single" w:color="auto" w:sz="4" w:space="0"/>
            </w:tcBorders>
            <w:vAlign w:val="center"/>
          </w:tcPr>
          <w:p w14:paraId="200AFAD7">
            <w:pPr>
              <w:widowControl/>
              <w:jc w:val="left"/>
              <w:rPr>
                <w:rFonts w:hint="eastAsia" w:cs="宋体" w:asciiTheme="minorEastAsia" w:hAnsiTheme="minorEastAsia" w:eastAsiaTheme="minorEastAsia"/>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14:paraId="6045BD4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企业满意度</w:t>
            </w:r>
          </w:p>
        </w:tc>
        <w:tc>
          <w:tcPr>
            <w:tcW w:w="850" w:type="dxa"/>
            <w:tcBorders>
              <w:top w:val="nil"/>
              <w:left w:val="nil"/>
              <w:bottom w:val="single" w:color="auto" w:sz="4" w:space="0"/>
              <w:right w:val="single" w:color="auto" w:sz="4" w:space="0"/>
            </w:tcBorders>
            <w:shd w:val="clear" w:color="auto" w:fill="auto"/>
            <w:vAlign w:val="center"/>
          </w:tcPr>
          <w:p w14:paraId="6E7B4F5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&gt;=95%</w:t>
            </w:r>
          </w:p>
        </w:tc>
        <w:tc>
          <w:tcPr>
            <w:tcW w:w="1037" w:type="dxa"/>
            <w:tcBorders>
              <w:top w:val="nil"/>
              <w:left w:val="nil"/>
              <w:bottom w:val="single" w:color="auto" w:sz="4" w:space="0"/>
              <w:right w:val="single" w:color="auto" w:sz="4" w:space="0"/>
            </w:tcBorders>
            <w:shd w:val="clear" w:color="auto" w:fill="auto"/>
            <w:vAlign w:val="center"/>
          </w:tcPr>
          <w:p w14:paraId="0B9EC04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木垒哈萨克自治县准东社会事务管理中心2023年工作计划</w:t>
            </w:r>
          </w:p>
        </w:tc>
        <w:tc>
          <w:tcPr>
            <w:tcW w:w="0" w:type="auto"/>
            <w:tcBorders>
              <w:top w:val="nil"/>
              <w:left w:val="nil"/>
              <w:bottom w:val="single" w:color="auto" w:sz="4" w:space="0"/>
              <w:right w:val="single" w:color="auto" w:sz="4" w:space="0"/>
            </w:tcBorders>
            <w:shd w:val="clear" w:color="auto" w:fill="auto"/>
            <w:vAlign w:val="center"/>
          </w:tcPr>
          <w:p w14:paraId="644416C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c>
          <w:tcPr>
            <w:tcW w:w="0" w:type="auto"/>
            <w:tcBorders>
              <w:top w:val="nil"/>
              <w:left w:val="nil"/>
              <w:bottom w:val="single" w:color="auto" w:sz="4" w:space="0"/>
              <w:right w:val="single" w:color="auto" w:sz="4" w:space="0"/>
            </w:tcBorders>
            <w:shd w:val="clear" w:color="auto" w:fill="auto"/>
            <w:vAlign w:val="center"/>
          </w:tcPr>
          <w:p w14:paraId="232A8AB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95%</w:t>
            </w:r>
          </w:p>
        </w:tc>
        <w:tc>
          <w:tcPr>
            <w:tcW w:w="0" w:type="auto"/>
            <w:tcBorders>
              <w:top w:val="nil"/>
              <w:left w:val="nil"/>
              <w:bottom w:val="single" w:color="auto" w:sz="4" w:space="0"/>
              <w:right w:val="single" w:color="auto" w:sz="4" w:space="0"/>
            </w:tcBorders>
            <w:shd w:val="clear" w:color="auto" w:fill="auto"/>
            <w:vAlign w:val="center"/>
          </w:tcPr>
          <w:p w14:paraId="3219423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r>
    </w:tbl>
    <w:p w14:paraId="109DF590">
      <w:pPr>
        <w:ind w:firstLine="640" w:firstLineChars="200"/>
        <w:jc w:val="left"/>
        <w:rPr>
          <w:rFonts w:ascii="仿宋_GB2312" w:eastAsia="仿宋_GB2312"/>
          <w:sz w:val="32"/>
          <w:szCs w:val="32"/>
        </w:rPr>
      </w:pPr>
    </w:p>
    <w:p w14:paraId="73E38336">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7A2D9EDB">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本单位无其他需说明事项。</w:t>
      </w:r>
    </w:p>
    <w:p w14:paraId="45E17EDD">
      <w:pPr>
        <w:jc w:val="center"/>
        <w:outlineLvl w:val="0"/>
        <w:rPr>
          <w:rFonts w:hint="eastAsia" w:ascii="黑体" w:hAnsi="黑体" w:eastAsia="黑体"/>
          <w:sz w:val="32"/>
          <w:szCs w:val="32"/>
        </w:rPr>
      </w:pPr>
      <w:bookmarkStart w:id="30" w:name="_Toc3250"/>
      <w:bookmarkStart w:id="31" w:name="_Toc24143"/>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14:paraId="76CCAE29">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25425ED8">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7E3D595C">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129A16E9">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3C6D9F1E">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547E1DC2">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05488FD8">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4BC30851">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422E3C5">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1988B5F7">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2CB97D74">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630E91DF">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40FF03D5">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242EAD5">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2C37A8CC">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6E537585">
      <w:pPr>
        <w:ind w:firstLine="640" w:firstLineChars="200"/>
        <w:outlineLvl w:val="1"/>
        <w:rPr>
          <w:rFonts w:hint="eastAsia" w:ascii="黑体" w:hAnsi="黑体" w:eastAsia="仿宋_GB2312" w:cs="宋体"/>
          <w:bCs/>
          <w:kern w:val="0"/>
          <w:sz w:val="32"/>
          <w:szCs w:val="32"/>
        </w:rPr>
      </w:pPr>
      <w:bookmarkStart w:id="32" w:name="_Toc6062"/>
      <w:bookmarkStart w:id="33" w:name="_Toc2183"/>
      <w:r>
        <w:rPr>
          <w:rFonts w:hint="eastAsia" w:ascii="黑体" w:hAnsi="黑体" w:eastAsia="仿宋_GB2312" w:cs="宋体"/>
          <w:bCs/>
          <w:kern w:val="0"/>
          <w:sz w:val="32"/>
          <w:szCs w:val="32"/>
        </w:rPr>
        <w:t>一、《收入支出决算总表》</w:t>
      </w:r>
      <w:bookmarkEnd w:id="32"/>
      <w:bookmarkEnd w:id="33"/>
    </w:p>
    <w:p w14:paraId="12D0603D">
      <w:pPr>
        <w:ind w:firstLine="640" w:firstLineChars="200"/>
        <w:outlineLvl w:val="1"/>
        <w:rPr>
          <w:rFonts w:hint="eastAsia" w:ascii="黑体" w:hAnsi="黑体" w:eastAsia="仿宋_GB2312" w:cs="宋体"/>
          <w:bCs/>
          <w:kern w:val="0"/>
          <w:sz w:val="32"/>
          <w:szCs w:val="32"/>
        </w:rPr>
      </w:pPr>
      <w:bookmarkStart w:id="34" w:name="_Toc24532"/>
      <w:bookmarkStart w:id="35" w:name="_Toc30364"/>
      <w:r>
        <w:rPr>
          <w:rFonts w:hint="eastAsia" w:ascii="黑体" w:hAnsi="黑体" w:eastAsia="仿宋_GB2312" w:cs="宋体"/>
          <w:bCs/>
          <w:kern w:val="0"/>
          <w:sz w:val="32"/>
          <w:szCs w:val="32"/>
        </w:rPr>
        <w:t>二、《收入决算表》</w:t>
      </w:r>
      <w:bookmarkEnd w:id="34"/>
      <w:bookmarkEnd w:id="35"/>
    </w:p>
    <w:p w14:paraId="5F08AD72">
      <w:pPr>
        <w:ind w:firstLine="640" w:firstLineChars="200"/>
        <w:outlineLvl w:val="1"/>
        <w:rPr>
          <w:rFonts w:hint="eastAsia" w:ascii="黑体" w:hAnsi="黑体" w:eastAsia="仿宋_GB2312" w:cs="宋体"/>
          <w:bCs/>
          <w:kern w:val="0"/>
          <w:sz w:val="32"/>
          <w:szCs w:val="32"/>
        </w:rPr>
      </w:pPr>
      <w:bookmarkStart w:id="36" w:name="_Toc21304"/>
      <w:bookmarkStart w:id="37" w:name="_Toc32434"/>
      <w:r>
        <w:rPr>
          <w:rFonts w:hint="eastAsia" w:ascii="黑体" w:hAnsi="黑体" w:eastAsia="仿宋_GB2312" w:cs="宋体"/>
          <w:bCs/>
          <w:kern w:val="0"/>
          <w:sz w:val="32"/>
          <w:szCs w:val="32"/>
        </w:rPr>
        <w:t>三、《支出决算表》</w:t>
      </w:r>
      <w:bookmarkEnd w:id="36"/>
      <w:bookmarkEnd w:id="37"/>
    </w:p>
    <w:p w14:paraId="6AF2CB79">
      <w:pPr>
        <w:ind w:firstLine="640" w:firstLineChars="200"/>
        <w:outlineLvl w:val="1"/>
        <w:rPr>
          <w:rFonts w:hint="eastAsia" w:ascii="黑体" w:hAnsi="黑体" w:eastAsia="仿宋_GB2312" w:cs="宋体"/>
          <w:bCs/>
          <w:kern w:val="0"/>
          <w:sz w:val="32"/>
          <w:szCs w:val="32"/>
        </w:rPr>
      </w:pPr>
      <w:bookmarkStart w:id="38" w:name="_Toc14238"/>
      <w:bookmarkStart w:id="39" w:name="_Toc28786"/>
      <w:r>
        <w:rPr>
          <w:rFonts w:hint="eastAsia" w:ascii="黑体" w:hAnsi="黑体" w:eastAsia="仿宋_GB2312" w:cs="宋体"/>
          <w:bCs/>
          <w:kern w:val="0"/>
          <w:sz w:val="32"/>
          <w:szCs w:val="32"/>
        </w:rPr>
        <w:t>四、《财政拨款收入支出决算总表》</w:t>
      </w:r>
      <w:bookmarkEnd w:id="38"/>
      <w:bookmarkEnd w:id="39"/>
    </w:p>
    <w:p w14:paraId="7F74D1B8">
      <w:pPr>
        <w:ind w:firstLine="640" w:firstLineChars="200"/>
        <w:outlineLvl w:val="1"/>
        <w:rPr>
          <w:rFonts w:hint="eastAsia" w:ascii="黑体" w:hAnsi="黑体" w:eastAsia="仿宋_GB2312" w:cs="宋体"/>
          <w:bCs/>
          <w:kern w:val="0"/>
          <w:sz w:val="32"/>
          <w:szCs w:val="32"/>
        </w:rPr>
      </w:pPr>
      <w:bookmarkStart w:id="40" w:name="_Toc14869"/>
      <w:bookmarkStart w:id="41" w:name="_Toc10347"/>
      <w:r>
        <w:rPr>
          <w:rFonts w:hint="eastAsia" w:ascii="黑体" w:hAnsi="黑体" w:eastAsia="仿宋_GB2312" w:cs="宋体"/>
          <w:bCs/>
          <w:kern w:val="0"/>
          <w:sz w:val="32"/>
          <w:szCs w:val="32"/>
        </w:rPr>
        <w:t>五、《一般公共预算财政拨款支出决算表》</w:t>
      </w:r>
      <w:bookmarkEnd w:id="40"/>
      <w:bookmarkEnd w:id="41"/>
    </w:p>
    <w:p w14:paraId="3F9E8E48">
      <w:pPr>
        <w:ind w:firstLine="640" w:firstLineChars="200"/>
        <w:outlineLvl w:val="1"/>
        <w:rPr>
          <w:rFonts w:hint="eastAsia" w:ascii="黑体" w:hAnsi="黑体" w:eastAsia="仿宋_GB2312" w:cs="宋体"/>
          <w:bCs/>
          <w:kern w:val="0"/>
          <w:sz w:val="32"/>
          <w:szCs w:val="32"/>
        </w:rPr>
      </w:pPr>
      <w:bookmarkStart w:id="42" w:name="_Toc5626"/>
      <w:bookmarkStart w:id="43" w:name="_Toc8884"/>
      <w:r>
        <w:rPr>
          <w:rFonts w:hint="eastAsia" w:ascii="黑体" w:hAnsi="黑体" w:eastAsia="仿宋_GB2312" w:cs="宋体"/>
          <w:bCs/>
          <w:kern w:val="0"/>
          <w:sz w:val="32"/>
          <w:szCs w:val="32"/>
        </w:rPr>
        <w:t>六、《一般公共预算财政拨款基本支出决算表》</w:t>
      </w:r>
      <w:bookmarkEnd w:id="42"/>
      <w:bookmarkEnd w:id="43"/>
    </w:p>
    <w:p w14:paraId="40C54589">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32663"/>
      <w:bookmarkStart w:id="45" w:name="_Toc29106"/>
      <w:r>
        <w:rPr>
          <w:rFonts w:hint="eastAsia" w:ascii="黑体" w:hAnsi="黑体" w:eastAsia="仿宋_GB2312" w:cs="宋体"/>
          <w:bCs/>
          <w:kern w:val="0"/>
          <w:sz w:val="32"/>
          <w:szCs w:val="32"/>
        </w:rPr>
        <w:t>《财政拨款“三公”经费支出决算表》</w:t>
      </w:r>
      <w:bookmarkEnd w:id="44"/>
      <w:bookmarkEnd w:id="45"/>
    </w:p>
    <w:p w14:paraId="6B096964">
      <w:pPr>
        <w:ind w:firstLine="640" w:firstLineChars="200"/>
        <w:outlineLvl w:val="1"/>
        <w:rPr>
          <w:rFonts w:hint="eastAsia" w:ascii="黑体" w:hAnsi="黑体" w:eastAsia="仿宋_GB2312" w:cs="宋体"/>
          <w:bCs/>
          <w:kern w:val="0"/>
          <w:sz w:val="32"/>
          <w:szCs w:val="32"/>
        </w:rPr>
      </w:pPr>
      <w:bookmarkStart w:id="46" w:name="_Toc7643"/>
      <w:bookmarkStart w:id="47" w:name="_Toc5453"/>
      <w:r>
        <w:rPr>
          <w:rFonts w:hint="eastAsia" w:ascii="黑体" w:hAnsi="黑体" w:eastAsia="仿宋_GB2312" w:cs="宋体"/>
          <w:bCs/>
          <w:kern w:val="0"/>
          <w:sz w:val="32"/>
          <w:szCs w:val="32"/>
        </w:rPr>
        <w:t>八、《政府性基金预算财政拨款收入支出决算表》</w:t>
      </w:r>
      <w:bookmarkEnd w:id="46"/>
      <w:bookmarkEnd w:id="47"/>
    </w:p>
    <w:p w14:paraId="631D0C40">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6C6BD4E1">
      <w:pPr>
        <w:ind w:firstLine="640" w:firstLineChars="200"/>
        <w:rPr>
          <w:rFonts w:ascii="仿宋_GB2312" w:eastAsia="仿宋_GB2312"/>
          <w:sz w:val="32"/>
          <w:szCs w:val="32"/>
        </w:rPr>
      </w:pPr>
    </w:p>
    <w:p w14:paraId="7FD2AF93">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1072AB">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F9A140A">
                          <w:pPr>
                            <w:pStyle w:val="4"/>
                          </w:pPr>
                          <w:r>
                            <w:rPr>
                              <w:rFonts w:hint="eastAsia"/>
                            </w:rPr>
                            <w:fldChar w:fldCharType="begin"/>
                          </w:r>
                          <w:r>
                            <w:rPr>
                              <w:rFonts w:hint="eastAsia"/>
                            </w:rPr>
                            <w:instrText xml:space="preserve"> PAGE  \* MERGEFORMAT </w:instrText>
                          </w:r>
                          <w:r>
                            <w:rPr>
                              <w:rFonts w:hint="eastAsia"/>
                            </w:rPr>
                            <w:fldChar w:fldCharType="separate"/>
                          </w:r>
                          <w:r>
                            <w:t>6</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7F9A140A">
                    <w:pPr>
                      <w:pStyle w:val="4"/>
                    </w:pPr>
                    <w:r>
                      <w:rPr>
                        <w:rFonts w:hint="eastAsia"/>
                      </w:rPr>
                      <w:fldChar w:fldCharType="begin"/>
                    </w:r>
                    <w:r>
                      <w:rPr>
                        <w:rFonts w:hint="eastAsia"/>
                      </w:rPr>
                      <w:instrText xml:space="preserve"> PAGE  \* MERGEFORMAT </w:instrText>
                    </w:r>
                    <w:r>
                      <w:rPr>
                        <w:rFonts w:hint="eastAsia"/>
                      </w:rPr>
                      <w:fldChar w:fldCharType="separate"/>
                    </w:r>
                    <w:r>
                      <w:t>6</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417116"/>
    <w:rsid w:val="000A40D0"/>
    <w:rsid w:val="000B62E0"/>
    <w:rsid w:val="001C1B6A"/>
    <w:rsid w:val="00213C59"/>
    <w:rsid w:val="00220505"/>
    <w:rsid w:val="0026219C"/>
    <w:rsid w:val="003210CE"/>
    <w:rsid w:val="00417116"/>
    <w:rsid w:val="004416B9"/>
    <w:rsid w:val="005242B9"/>
    <w:rsid w:val="00665083"/>
    <w:rsid w:val="007978AD"/>
    <w:rsid w:val="00914886"/>
    <w:rsid w:val="009B5FCA"/>
    <w:rsid w:val="00B70D59"/>
    <w:rsid w:val="00C870FC"/>
    <w:rsid w:val="00D7798B"/>
    <w:rsid w:val="00F52A8D"/>
    <w:rsid w:val="00F9279A"/>
    <w:rsid w:val="00FF72E6"/>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24683B"/>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C616FF"/>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17</Pages>
  <Words>5576</Words>
  <Characters>6262</Characters>
  <Lines>52</Lines>
  <Paragraphs>14</Paragraphs>
  <TotalTime>34</TotalTime>
  <ScaleCrop>false</ScaleCrop>
  <LinksUpToDate>false</LinksUpToDate>
  <CharactersWithSpaces>6295</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哎呦喂</cp:lastModifiedBy>
  <dcterms:modified xsi:type="dcterms:W3CDTF">2024-12-05T09:10:29Z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D624B15633CD43C8BF9435464A96BF70</vt:lpwstr>
  </property>
</Properties>
</file>